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A3" w:rsidRDefault="003D48A3" w:rsidP="003D48A3">
      <w:pPr>
        <w:rPr>
          <w:rFonts w:eastAsia="Times New Roman"/>
          <w:b/>
          <w:color w:val="000000"/>
        </w:rPr>
      </w:pPr>
      <w:r>
        <w:rPr>
          <w:rFonts w:eastAsia="Times New Roman"/>
          <w:b/>
          <w:color w:val="000000"/>
        </w:rPr>
        <w:t>SELEP</w:t>
      </w:r>
      <w:r w:rsidRPr="00907C33">
        <w:rPr>
          <w:rFonts w:eastAsia="Times New Roman"/>
          <w:b/>
          <w:color w:val="000000"/>
        </w:rPr>
        <w:t xml:space="preserve"> Independent Technical Evaluator</w:t>
      </w:r>
      <w:r>
        <w:rPr>
          <w:rFonts w:eastAsia="Times New Roman"/>
          <w:b/>
          <w:color w:val="000000"/>
        </w:rPr>
        <w:t xml:space="preserve"> Review Process</w:t>
      </w:r>
    </w:p>
    <w:p w:rsidR="003D48A3" w:rsidRDefault="003D48A3" w:rsidP="003D48A3">
      <w:pPr>
        <w:autoSpaceDE w:val="0"/>
        <w:autoSpaceDN w:val="0"/>
        <w:adjustRightInd w:val="0"/>
        <w:spacing w:after="0" w:line="240" w:lineRule="auto"/>
        <w:rPr>
          <w:lang w:eastAsia="en-GB"/>
        </w:rPr>
      </w:pPr>
      <w:r>
        <w:rPr>
          <w:lang w:eastAsia="en-GB"/>
        </w:rPr>
        <w:t>For all Growth Deal Projects, the allocation of any funding to projects identified within SELEPs Growth Deal is subject to approval by</w:t>
      </w:r>
      <w:r w:rsidR="00CC7983">
        <w:rPr>
          <w:lang w:eastAsia="en-GB"/>
        </w:rPr>
        <w:t xml:space="preserve"> the</w:t>
      </w:r>
      <w:r>
        <w:rPr>
          <w:lang w:eastAsia="en-GB"/>
        </w:rPr>
        <w:t xml:space="preserve"> SELEP Accountability Board.</w:t>
      </w:r>
      <w:r>
        <w:rPr>
          <w:rFonts w:eastAsia="Times New Roman"/>
          <w:b/>
          <w:lang w:eastAsia="en-GB"/>
        </w:rPr>
        <w:t xml:space="preserve"> </w:t>
      </w:r>
      <w:r>
        <w:rPr>
          <w:lang w:eastAsia="en-GB"/>
        </w:rPr>
        <w:t xml:space="preserve">All funding decisions made by the Accountability Board to approve funding for </w:t>
      </w:r>
      <w:r w:rsidR="002B071A">
        <w:rPr>
          <w:lang w:eastAsia="en-GB"/>
        </w:rPr>
        <w:t xml:space="preserve">a specific project </w:t>
      </w:r>
      <w:r>
        <w:rPr>
          <w:lang w:eastAsia="en-GB"/>
        </w:rPr>
        <w:t xml:space="preserve">must be supported with a robust Business Case which has been independently assessed. This independent </w:t>
      </w:r>
      <w:r w:rsidRPr="00907C33">
        <w:rPr>
          <w:lang w:eastAsia="en-GB"/>
        </w:rPr>
        <w:t>a</w:t>
      </w:r>
      <w:r w:rsidRPr="00907C33">
        <w:rPr>
          <w:rFonts w:eastAsia="Times New Roman"/>
          <w:lang w:eastAsia="en-GB"/>
        </w:rPr>
        <w:t>nd i</w:t>
      </w:r>
      <w:r w:rsidRPr="00907C33">
        <w:rPr>
          <w:lang w:eastAsia="en-GB"/>
        </w:rPr>
        <w:t>mpartial</w:t>
      </w:r>
      <w:r>
        <w:rPr>
          <w:lang w:eastAsia="en-GB"/>
        </w:rPr>
        <w:t xml:space="preserve"> advice on the merits of project Business Cases is provided by</w:t>
      </w:r>
      <w:r w:rsidR="00CC7983">
        <w:rPr>
          <w:lang w:eastAsia="en-GB"/>
        </w:rPr>
        <w:t xml:space="preserve"> the</w:t>
      </w:r>
      <w:r>
        <w:rPr>
          <w:lang w:eastAsia="en-GB"/>
        </w:rPr>
        <w:t xml:space="preserve"> SELEP Independent Technical Evaluator.</w:t>
      </w:r>
    </w:p>
    <w:p w:rsidR="003D48A3" w:rsidRPr="00B65EB4" w:rsidRDefault="003D48A3" w:rsidP="003D48A3">
      <w:pPr>
        <w:autoSpaceDE w:val="0"/>
        <w:autoSpaceDN w:val="0"/>
        <w:adjustRightInd w:val="0"/>
        <w:spacing w:after="0" w:line="240" w:lineRule="auto"/>
        <w:rPr>
          <w:lang w:eastAsia="en-GB"/>
        </w:rPr>
      </w:pPr>
    </w:p>
    <w:p w:rsidR="003D48A3" w:rsidRDefault="003D48A3" w:rsidP="003D48A3">
      <w:pPr>
        <w:autoSpaceDE w:val="0"/>
        <w:autoSpaceDN w:val="0"/>
        <w:adjustRightInd w:val="0"/>
        <w:spacing w:after="0" w:line="240" w:lineRule="auto"/>
        <w:rPr>
          <w:rFonts w:eastAsia="Times New Roman"/>
          <w:color w:val="000000"/>
        </w:rPr>
      </w:pPr>
      <w:r>
        <w:rPr>
          <w:rFonts w:eastAsia="Times New Roman"/>
          <w:color w:val="000000"/>
        </w:rPr>
        <w:t xml:space="preserve">Steer Davies Gleave have been appointed by SELEP as  its </w:t>
      </w:r>
      <w:r w:rsidRPr="00907C33">
        <w:rPr>
          <w:rFonts w:eastAsia="Times New Roman"/>
          <w:color w:val="000000"/>
        </w:rPr>
        <w:t>Independent Technical Evaluator, to provide technical advice to the Strategic and Accountability Board on value for money and project deliverability</w:t>
      </w:r>
      <w:r w:rsidR="002B071A">
        <w:rPr>
          <w:rFonts w:eastAsia="Times New Roman"/>
          <w:color w:val="000000"/>
        </w:rPr>
        <w:t xml:space="preserve"> of Growth Deal projects</w:t>
      </w:r>
      <w:r w:rsidRPr="00907C33">
        <w:rPr>
          <w:rFonts w:eastAsia="Times New Roman"/>
          <w:color w:val="000000"/>
        </w:rPr>
        <w:t xml:space="preserve">. </w:t>
      </w:r>
      <w:r>
        <w:rPr>
          <w:rFonts w:eastAsia="Times New Roman"/>
          <w:color w:val="000000"/>
        </w:rPr>
        <w:t xml:space="preserve"> Following the review of Businesses Cases, the SELEP Independent Technical Evaluator </w:t>
      </w:r>
      <w:r w:rsidRPr="00907C33">
        <w:rPr>
          <w:rFonts w:eastAsia="Times New Roman"/>
          <w:color w:val="000000"/>
        </w:rPr>
        <w:t>make</w:t>
      </w:r>
      <w:r>
        <w:rPr>
          <w:rFonts w:eastAsia="Times New Roman"/>
          <w:color w:val="000000"/>
        </w:rPr>
        <w:t>s</w:t>
      </w:r>
      <w:r w:rsidRPr="00907C33">
        <w:rPr>
          <w:rFonts w:eastAsia="Times New Roman"/>
          <w:color w:val="000000"/>
        </w:rPr>
        <w:t xml:space="preserve"> recommendations to</w:t>
      </w:r>
      <w:r w:rsidR="00CC7983">
        <w:rPr>
          <w:rFonts w:eastAsia="Times New Roman"/>
          <w:color w:val="000000"/>
        </w:rPr>
        <w:t xml:space="preserve"> the</w:t>
      </w:r>
      <w:r w:rsidRPr="00907C33">
        <w:rPr>
          <w:rFonts w:eastAsia="Times New Roman"/>
          <w:color w:val="000000"/>
        </w:rPr>
        <w:t xml:space="preserve"> </w:t>
      </w:r>
      <w:r w:rsidR="002B071A">
        <w:rPr>
          <w:rFonts w:eastAsia="Times New Roman"/>
          <w:color w:val="000000"/>
        </w:rPr>
        <w:t xml:space="preserve">SELEP </w:t>
      </w:r>
      <w:r w:rsidRPr="00907C33">
        <w:rPr>
          <w:rFonts w:eastAsia="Times New Roman"/>
          <w:color w:val="000000"/>
        </w:rPr>
        <w:t>Accountabil</w:t>
      </w:r>
      <w:r>
        <w:rPr>
          <w:rFonts w:eastAsia="Times New Roman"/>
          <w:color w:val="000000"/>
        </w:rPr>
        <w:t>ity Board on the project</w:t>
      </w:r>
      <w:r w:rsidR="00CC7983">
        <w:rPr>
          <w:rFonts w:eastAsia="Times New Roman"/>
          <w:color w:val="000000"/>
        </w:rPr>
        <w:t>’</w:t>
      </w:r>
      <w:r>
        <w:rPr>
          <w:rFonts w:eastAsia="Times New Roman"/>
          <w:color w:val="000000"/>
        </w:rPr>
        <w:t xml:space="preserve">s Value for Money and the certainty of Value for Money being achieved. </w:t>
      </w:r>
    </w:p>
    <w:p w:rsidR="003D48A3" w:rsidRDefault="003D48A3" w:rsidP="003D48A3">
      <w:pPr>
        <w:autoSpaceDE w:val="0"/>
        <w:autoSpaceDN w:val="0"/>
        <w:adjustRightInd w:val="0"/>
        <w:spacing w:after="0" w:line="240" w:lineRule="auto"/>
        <w:rPr>
          <w:rFonts w:eastAsia="Times New Roman"/>
          <w:color w:val="000000"/>
        </w:rPr>
      </w:pPr>
    </w:p>
    <w:p w:rsidR="003D48A3" w:rsidRDefault="003D48A3" w:rsidP="003D48A3">
      <w:pPr>
        <w:autoSpaceDE w:val="0"/>
        <w:autoSpaceDN w:val="0"/>
        <w:adjustRightInd w:val="0"/>
        <w:spacing w:after="0" w:line="240" w:lineRule="auto"/>
        <w:rPr>
          <w:rFonts w:eastAsia="Times New Roman"/>
          <w:color w:val="000000"/>
        </w:rPr>
      </w:pPr>
      <w:r>
        <w:rPr>
          <w:rFonts w:eastAsia="Times New Roman"/>
          <w:color w:val="000000"/>
        </w:rPr>
        <w:t>The review of a project</w:t>
      </w:r>
      <w:r w:rsidR="00CC7983">
        <w:rPr>
          <w:rFonts w:eastAsia="Times New Roman"/>
          <w:color w:val="000000"/>
        </w:rPr>
        <w:t>’</w:t>
      </w:r>
      <w:r>
        <w:rPr>
          <w:rFonts w:eastAsia="Times New Roman"/>
          <w:color w:val="000000"/>
        </w:rPr>
        <w:t>s Value for Money helps to inform the Accountability Board</w:t>
      </w:r>
      <w:r w:rsidR="00CC7983">
        <w:rPr>
          <w:rFonts w:eastAsia="Times New Roman"/>
          <w:color w:val="000000"/>
        </w:rPr>
        <w:t>’</w:t>
      </w:r>
      <w:r>
        <w:rPr>
          <w:rFonts w:eastAsia="Times New Roman"/>
          <w:color w:val="000000"/>
        </w:rPr>
        <w:t>s view as to whether the benefits which the</w:t>
      </w:r>
      <w:r w:rsidR="002B071A">
        <w:rPr>
          <w:rFonts w:eastAsia="Times New Roman"/>
          <w:color w:val="000000"/>
        </w:rPr>
        <w:t xml:space="preserve"> project is expected to deliver</w:t>
      </w:r>
      <w:r>
        <w:rPr>
          <w:rFonts w:eastAsia="Times New Roman"/>
          <w:color w:val="000000"/>
        </w:rPr>
        <w:t xml:space="preserve"> justifies the</w:t>
      </w:r>
      <w:r w:rsidR="002B071A">
        <w:rPr>
          <w:rFonts w:eastAsia="Times New Roman"/>
          <w:color w:val="000000"/>
        </w:rPr>
        <w:t xml:space="preserve"> investment of public funds.</w:t>
      </w:r>
    </w:p>
    <w:p w:rsidR="00B80691" w:rsidRDefault="00B80691" w:rsidP="003D48A3">
      <w:pPr>
        <w:autoSpaceDE w:val="0"/>
        <w:autoSpaceDN w:val="0"/>
        <w:adjustRightInd w:val="0"/>
        <w:spacing w:after="0" w:line="240" w:lineRule="auto"/>
        <w:rPr>
          <w:rFonts w:eastAsia="Times New Roman"/>
          <w:color w:val="000000"/>
        </w:rPr>
      </w:pPr>
    </w:p>
    <w:p w:rsidR="00B80691" w:rsidRPr="00B80691" w:rsidRDefault="00B80691" w:rsidP="00B80691">
      <w:pPr>
        <w:autoSpaceDE w:val="0"/>
        <w:autoSpaceDN w:val="0"/>
        <w:adjustRightInd w:val="0"/>
        <w:spacing w:after="0" w:line="240" w:lineRule="auto"/>
        <w:rPr>
          <w:rFonts w:eastAsia="Times New Roman"/>
          <w:color w:val="000000"/>
        </w:rPr>
      </w:pPr>
      <w:r>
        <w:rPr>
          <w:rFonts w:eastAsia="Times New Roman"/>
          <w:color w:val="000000"/>
        </w:rPr>
        <w:t>The Independent Technical Evaluator provides feedback to scheme promoters following each stage of the review process</w:t>
      </w:r>
      <w:r w:rsidR="00A929EB">
        <w:rPr>
          <w:rFonts w:eastAsia="Times New Roman"/>
          <w:color w:val="000000"/>
        </w:rPr>
        <w:t>. This is done</w:t>
      </w:r>
      <w:r>
        <w:rPr>
          <w:rFonts w:eastAsia="Times New Roman"/>
          <w:color w:val="000000"/>
        </w:rPr>
        <w:t xml:space="preserve"> through</w:t>
      </w:r>
      <w:r w:rsidR="00A929EB">
        <w:rPr>
          <w:rFonts w:eastAsia="Times New Roman"/>
          <w:color w:val="000000"/>
        </w:rPr>
        <w:t xml:space="preserve"> the</w:t>
      </w:r>
      <w:r>
        <w:rPr>
          <w:rFonts w:eastAsia="Times New Roman"/>
          <w:color w:val="000000"/>
        </w:rPr>
        <w:t xml:space="preserve"> completi</w:t>
      </w:r>
      <w:r w:rsidR="00A929EB">
        <w:rPr>
          <w:rFonts w:eastAsia="Times New Roman"/>
          <w:color w:val="000000"/>
        </w:rPr>
        <w:t xml:space="preserve">on of </w:t>
      </w:r>
      <w:r>
        <w:rPr>
          <w:rFonts w:eastAsia="Times New Roman"/>
          <w:color w:val="000000"/>
        </w:rPr>
        <w:t xml:space="preserve">a standardised assessment </w:t>
      </w:r>
      <w:r w:rsidR="00A929EB">
        <w:rPr>
          <w:rFonts w:eastAsia="Times New Roman"/>
          <w:color w:val="000000"/>
        </w:rPr>
        <w:t>P</w:t>
      </w:r>
      <w:r>
        <w:rPr>
          <w:rFonts w:eastAsia="Times New Roman"/>
          <w:color w:val="000000"/>
        </w:rPr>
        <w:t>ro-</w:t>
      </w:r>
      <w:r w:rsidR="00A929EB">
        <w:rPr>
          <w:rFonts w:eastAsia="Times New Roman"/>
          <w:color w:val="000000"/>
        </w:rPr>
        <w:t>F</w:t>
      </w:r>
      <w:r>
        <w:rPr>
          <w:rFonts w:eastAsia="Times New Roman"/>
          <w:color w:val="000000"/>
        </w:rPr>
        <w:t>orma. The</w:t>
      </w:r>
      <w:r w:rsidRPr="00E2768D">
        <w:rPr>
          <w:rFonts w:eastAsia="Times New Roman"/>
        </w:rPr>
        <w:t xml:space="preserve"> Pro Forma has been developed based on the criteria of </w:t>
      </w:r>
      <w:r w:rsidRPr="00E2768D">
        <w:rPr>
          <w:rFonts w:eastAsia="Times New Roman"/>
          <w:i/>
          <w:iCs/>
        </w:rPr>
        <w:t xml:space="preserve">The Green Book, </w:t>
      </w:r>
      <w:r w:rsidRPr="00E2768D">
        <w:rPr>
          <w:rFonts w:eastAsia="Times New Roman"/>
        </w:rPr>
        <w:t>a ‘checklist for appraisal</w:t>
      </w:r>
      <w:r w:rsidRPr="00E2768D">
        <w:rPr>
          <w:rFonts w:eastAsia="Times New Roman"/>
          <w:b/>
          <w:bCs/>
        </w:rPr>
        <w:t xml:space="preserve"> </w:t>
      </w:r>
      <w:r w:rsidRPr="00E2768D">
        <w:rPr>
          <w:rFonts w:eastAsia="Times New Roman"/>
        </w:rPr>
        <w:t xml:space="preserve">assessment from Her Majesty’s Treasury, and WebTAG. </w:t>
      </w:r>
      <w:r>
        <w:rPr>
          <w:rFonts w:eastAsia="Times New Roman"/>
        </w:rPr>
        <w:t xml:space="preserve">There are two versions of the template; a </w:t>
      </w:r>
      <w:hyperlink r:id="rId5" w:history="1">
        <w:r w:rsidRPr="00FB08B0">
          <w:rPr>
            <w:rStyle w:val="Hyperlink"/>
            <w:rFonts w:eastAsia="Times New Roman"/>
          </w:rPr>
          <w:t>Transport Assessment Pro-Forma</w:t>
        </w:r>
      </w:hyperlink>
      <w:r w:rsidR="00FB08B0">
        <w:rPr>
          <w:rFonts w:eastAsia="Times New Roman"/>
        </w:rPr>
        <w:t xml:space="preserve"> </w:t>
      </w:r>
      <w:r>
        <w:rPr>
          <w:rFonts w:eastAsia="Times New Roman"/>
        </w:rPr>
        <w:t xml:space="preserve">and </w:t>
      </w:r>
      <w:hyperlink r:id="rId6" w:history="1">
        <w:r w:rsidRPr="00FB08B0">
          <w:rPr>
            <w:rStyle w:val="Hyperlink"/>
            <w:rFonts w:eastAsia="Times New Roman"/>
          </w:rPr>
          <w:t>Non – Transport Assessment Template</w:t>
        </w:r>
      </w:hyperlink>
      <w:r w:rsidR="00FB08B0">
        <w:rPr>
          <w:rFonts w:eastAsia="Times New Roman"/>
        </w:rPr>
        <w:t>.</w:t>
      </w:r>
    </w:p>
    <w:p w:rsidR="003D48A3" w:rsidRPr="007F0263" w:rsidRDefault="003D48A3" w:rsidP="003D48A3">
      <w:pPr>
        <w:pStyle w:val="ListParagraph"/>
        <w:autoSpaceDE w:val="0"/>
        <w:autoSpaceDN w:val="0"/>
        <w:adjustRightInd w:val="0"/>
        <w:spacing w:after="0" w:line="240" w:lineRule="auto"/>
        <w:ind w:left="993"/>
        <w:rPr>
          <w:rFonts w:eastAsia="Times New Roman"/>
          <w:b/>
          <w:color w:val="000000"/>
        </w:rPr>
      </w:pPr>
      <w:bookmarkStart w:id="0" w:name="_GoBack"/>
      <w:bookmarkEnd w:id="0"/>
    </w:p>
    <w:p w:rsidR="003D48A3" w:rsidRDefault="003D48A3" w:rsidP="003D48A3">
      <w:pPr>
        <w:autoSpaceDE w:val="0"/>
        <w:autoSpaceDN w:val="0"/>
        <w:adjustRightInd w:val="0"/>
        <w:spacing w:after="0" w:line="240" w:lineRule="auto"/>
        <w:rPr>
          <w:rFonts w:eastAsia="Times New Roman"/>
        </w:rPr>
      </w:pPr>
      <w:r w:rsidRPr="00907C33">
        <w:rPr>
          <w:rFonts w:eastAsia="Times New Roman"/>
        </w:rPr>
        <w:t>The Independent Technical Evaluator assessment i</w:t>
      </w:r>
      <w:r w:rsidR="002B071A">
        <w:rPr>
          <w:rFonts w:eastAsia="Times New Roman"/>
        </w:rPr>
        <w:t>s based on adherence of scheme Business C</w:t>
      </w:r>
      <w:r w:rsidRPr="00907C33">
        <w:rPr>
          <w:rFonts w:eastAsia="Times New Roman"/>
        </w:rPr>
        <w:t xml:space="preserve">ases to </w:t>
      </w:r>
      <w:hyperlink r:id="rId7" w:history="1">
        <w:r w:rsidRPr="00FB08B0">
          <w:rPr>
            <w:rStyle w:val="Hyperlink"/>
            <w:rFonts w:eastAsia="Times New Roman"/>
            <w:i/>
            <w:iCs/>
          </w:rPr>
          <w:t>The Green</w:t>
        </w:r>
        <w:r w:rsidRPr="00FB08B0">
          <w:rPr>
            <w:rStyle w:val="Hyperlink"/>
            <w:rFonts w:eastAsia="Times New Roman"/>
            <w:b/>
            <w:bCs/>
          </w:rPr>
          <w:t xml:space="preserve"> </w:t>
        </w:r>
        <w:r w:rsidRPr="00FB08B0">
          <w:rPr>
            <w:rStyle w:val="Hyperlink"/>
            <w:rFonts w:eastAsia="Times New Roman"/>
            <w:i/>
            <w:iCs/>
          </w:rPr>
          <w:t>Book</w:t>
        </w:r>
      </w:hyperlink>
      <w:r w:rsidRPr="003D48A3">
        <w:rPr>
          <w:rFonts w:eastAsia="Times New Roman"/>
          <w:i/>
          <w:iCs/>
        </w:rPr>
        <w:t xml:space="preserve"> </w:t>
      </w:r>
      <w:r w:rsidR="00FB08B0">
        <w:rPr>
          <w:rFonts w:eastAsia="Times New Roman"/>
          <w:iCs/>
        </w:rPr>
        <w:t>,</w:t>
      </w:r>
      <w:r w:rsidRPr="003D48A3">
        <w:rPr>
          <w:rFonts w:eastAsia="Times New Roman"/>
        </w:rPr>
        <w:t xml:space="preserve"> and related departmental guidance </w:t>
      </w:r>
      <w:r w:rsidR="00A929EB">
        <w:rPr>
          <w:rFonts w:eastAsia="Times New Roman"/>
        </w:rPr>
        <w:t>for example</w:t>
      </w:r>
      <w:r w:rsidRPr="003D48A3">
        <w:rPr>
          <w:rFonts w:eastAsia="Times New Roman"/>
        </w:rPr>
        <w:t xml:space="preserve"> the</w:t>
      </w:r>
      <w:r w:rsidRPr="003D48A3">
        <w:rPr>
          <w:rFonts w:eastAsia="Times New Roman"/>
          <w:b/>
          <w:bCs/>
        </w:rPr>
        <w:t xml:space="preserve"> </w:t>
      </w:r>
      <w:r w:rsidRPr="003D48A3">
        <w:rPr>
          <w:rFonts w:eastAsia="Times New Roman"/>
        </w:rPr>
        <w:t xml:space="preserve">Department for Transport’s </w:t>
      </w:r>
      <w:hyperlink r:id="rId8" w:history="1">
        <w:r w:rsidRPr="00FB08B0">
          <w:rPr>
            <w:rStyle w:val="Hyperlink"/>
            <w:rFonts w:eastAsia="Times New Roman"/>
          </w:rPr>
          <w:t>WebTAG</w:t>
        </w:r>
      </w:hyperlink>
      <w:r w:rsidRPr="003D48A3">
        <w:rPr>
          <w:rFonts w:eastAsia="Times New Roman"/>
        </w:rPr>
        <w:t xml:space="preserve"> (Web-based Transport Analysis Guidance) or the </w:t>
      </w:r>
      <w:hyperlink r:id="rId9" w:history="1">
        <w:r w:rsidRPr="00FB08B0">
          <w:rPr>
            <w:rStyle w:val="Hyperlink"/>
            <w:rFonts w:eastAsia="Times New Roman"/>
          </w:rPr>
          <w:t>Department for Communities and Loc</w:t>
        </w:r>
        <w:r w:rsidR="00FB08B0" w:rsidRPr="00FB08B0">
          <w:rPr>
            <w:rStyle w:val="Hyperlink"/>
            <w:rFonts w:eastAsia="Times New Roman"/>
          </w:rPr>
          <w:t>al Government  Appraisal Guide</w:t>
        </w:r>
      </w:hyperlink>
      <w:r w:rsidRPr="003D48A3">
        <w:rPr>
          <w:rFonts w:eastAsia="Times New Roman"/>
        </w:rPr>
        <w:t>.</w:t>
      </w:r>
      <w:r w:rsidRPr="00907C33">
        <w:rPr>
          <w:rFonts w:eastAsia="Times New Roman"/>
        </w:rPr>
        <w:t xml:space="preserve"> </w:t>
      </w:r>
    </w:p>
    <w:p w:rsidR="003D48A3" w:rsidRDefault="003D48A3" w:rsidP="003D48A3">
      <w:pPr>
        <w:autoSpaceDE w:val="0"/>
        <w:autoSpaceDN w:val="0"/>
        <w:adjustRightInd w:val="0"/>
        <w:spacing w:after="0" w:line="240" w:lineRule="auto"/>
        <w:rPr>
          <w:rFonts w:eastAsia="Times New Roman"/>
          <w:b/>
        </w:rPr>
      </w:pPr>
    </w:p>
    <w:p w:rsidR="003D48A3" w:rsidRDefault="002B071A" w:rsidP="003D48A3">
      <w:pPr>
        <w:autoSpaceDE w:val="0"/>
        <w:autoSpaceDN w:val="0"/>
        <w:adjustRightInd w:val="0"/>
        <w:spacing w:after="0" w:line="240" w:lineRule="auto"/>
        <w:rPr>
          <w:rFonts w:eastAsia="Times New Roman"/>
        </w:rPr>
      </w:pPr>
      <w:r>
        <w:rPr>
          <w:rFonts w:eastAsia="Times New Roman"/>
        </w:rPr>
        <w:t xml:space="preserve">Local Growth Fund projects are </w:t>
      </w:r>
      <w:r w:rsidR="003D48A3">
        <w:rPr>
          <w:rFonts w:eastAsia="Times New Roman"/>
        </w:rPr>
        <w:t>required to complete each stage of the Independent Technical Evaluator review process. All projects are required to complete Gate 0, Gate 1 and Gate 2.  Projects with an LGF allocation of over £8m or which are considered high risk are</w:t>
      </w:r>
      <w:r>
        <w:rPr>
          <w:rFonts w:eastAsia="Times New Roman"/>
        </w:rPr>
        <w:t xml:space="preserve"> </w:t>
      </w:r>
      <w:r w:rsidR="00A929EB">
        <w:rPr>
          <w:rFonts w:eastAsia="Times New Roman"/>
        </w:rPr>
        <w:t>also</w:t>
      </w:r>
      <w:r>
        <w:rPr>
          <w:rFonts w:eastAsia="Times New Roman"/>
        </w:rPr>
        <w:t xml:space="preserve"> </w:t>
      </w:r>
      <w:r w:rsidR="003D48A3">
        <w:rPr>
          <w:rFonts w:eastAsia="Times New Roman"/>
        </w:rPr>
        <w:t xml:space="preserve"> required to complete Gate 4 and 5.</w:t>
      </w:r>
    </w:p>
    <w:p w:rsidR="002B071A" w:rsidRDefault="002B071A" w:rsidP="003D48A3">
      <w:pPr>
        <w:autoSpaceDE w:val="0"/>
        <w:autoSpaceDN w:val="0"/>
        <w:adjustRightInd w:val="0"/>
        <w:spacing w:after="0" w:line="240" w:lineRule="auto"/>
        <w:rPr>
          <w:rFonts w:eastAsia="Times New Roman"/>
        </w:rPr>
      </w:pPr>
    </w:p>
    <w:tbl>
      <w:tblPr>
        <w:tblStyle w:val="TableGrid"/>
        <w:tblW w:w="0" w:type="auto"/>
        <w:tblLook w:val="04A0" w:firstRow="1" w:lastRow="0" w:firstColumn="1" w:lastColumn="0" w:noHBand="0" w:noVBand="1"/>
      </w:tblPr>
      <w:tblGrid>
        <w:gridCol w:w="1384"/>
        <w:gridCol w:w="7858"/>
      </w:tblGrid>
      <w:tr w:rsidR="00096EF6" w:rsidTr="001133F1">
        <w:tc>
          <w:tcPr>
            <w:tcW w:w="1384" w:type="dxa"/>
            <w:shd w:val="clear" w:color="auto" w:fill="D9D9D9" w:themeFill="background1" w:themeFillShade="D9"/>
          </w:tcPr>
          <w:p w:rsidR="00096EF6" w:rsidRDefault="00096EF6" w:rsidP="001133F1">
            <w:r>
              <w:t>Stage</w:t>
            </w:r>
          </w:p>
        </w:tc>
        <w:tc>
          <w:tcPr>
            <w:tcW w:w="7858" w:type="dxa"/>
            <w:shd w:val="clear" w:color="auto" w:fill="D9D9D9" w:themeFill="background1" w:themeFillShade="D9"/>
          </w:tcPr>
          <w:p w:rsidR="00096EF6" w:rsidRDefault="00096EF6" w:rsidP="001133F1">
            <w:pPr>
              <w:rPr>
                <w:rFonts w:eastAsia="Times New Roman"/>
                <w:lang w:eastAsia="en-GB"/>
              </w:rPr>
            </w:pPr>
            <w:r>
              <w:rPr>
                <w:rFonts w:eastAsia="Times New Roman"/>
                <w:lang w:eastAsia="en-GB"/>
              </w:rPr>
              <w:t xml:space="preserve">Description </w:t>
            </w:r>
          </w:p>
        </w:tc>
      </w:tr>
      <w:tr w:rsidR="00096EF6" w:rsidTr="001133F1">
        <w:tc>
          <w:tcPr>
            <w:tcW w:w="1384" w:type="dxa"/>
          </w:tcPr>
          <w:p w:rsidR="00096EF6" w:rsidRDefault="00096EF6" w:rsidP="001133F1">
            <w:r>
              <w:t>Gate 0</w:t>
            </w:r>
          </w:p>
        </w:tc>
        <w:tc>
          <w:tcPr>
            <w:tcW w:w="7858" w:type="dxa"/>
          </w:tcPr>
          <w:p w:rsidR="00096EF6" w:rsidRPr="002574BF" w:rsidRDefault="00096EF6" w:rsidP="00A929EB">
            <w:pPr>
              <w:rPr>
                <w:rFonts w:eastAsia="Times New Roman"/>
                <w:lang w:eastAsia="en-GB"/>
              </w:rPr>
            </w:pPr>
            <w:r>
              <w:rPr>
                <w:rFonts w:eastAsia="Times New Roman"/>
                <w:lang w:eastAsia="en-GB"/>
              </w:rPr>
              <w:t>Following the allocation</w:t>
            </w:r>
            <w:r w:rsidR="00A929EB">
              <w:rPr>
                <w:rFonts w:eastAsia="Times New Roman"/>
                <w:lang w:eastAsia="en-GB"/>
              </w:rPr>
              <w:t xml:space="preserve"> but prior to the award</w:t>
            </w:r>
            <w:r>
              <w:rPr>
                <w:rFonts w:eastAsia="Times New Roman"/>
                <w:lang w:eastAsia="en-GB"/>
              </w:rPr>
              <w:t xml:space="preserve"> of</w:t>
            </w:r>
            <w:r w:rsidR="00A929EB">
              <w:rPr>
                <w:rFonts w:eastAsia="Times New Roman"/>
                <w:lang w:eastAsia="en-GB"/>
              </w:rPr>
              <w:t xml:space="preserve"> any</w:t>
            </w:r>
            <w:r>
              <w:rPr>
                <w:rFonts w:eastAsia="Times New Roman"/>
                <w:lang w:eastAsia="en-GB"/>
              </w:rPr>
              <w:t xml:space="preserve"> Local Growth Fund</w:t>
            </w:r>
            <w:r w:rsidR="00A929EB">
              <w:rPr>
                <w:rFonts w:eastAsia="Times New Roman"/>
                <w:lang w:eastAsia="en-GB"/>
              </w:rPr>
              <w:t>ing for a</w:t>
            </w:r>
            <w:r>
              <w:rPr>
                <w:rFonts w:eastAsia="Times New Roman"/>
                <w:lang w:eastAsia="en-GB"/>
              </w:rPr>
              <w:t xml:space="preserve"> project, the</w:t>
            </w:r>
            <w:r w:rsidRPr="00312A3E">
              <w:rPr>
                <w:rFonts w:eastAsia="Times New Roman"/>
                <w:lang w:eastAsia="en-GB"/>
              </w:rPr>
              <w:t xml:space="preserve"> Independent Technical Evaluator will provide advice to project promoters </w:t>
            </w:r>
            <w:r>
              <w:rPr>
                <w:rFonts w:eastAsia="Times New Roman"/>
                <w:lang w:eastAsia="en-GB"/>
              </w:rPr>
              <w:t xml:space="preserve">about </w:t>
            </w:r>
            <w:r w:rsidRPr="00312A3E">
              <w:rPr>
                <w:rFonts w:eastAsia="Times New Roman"/>
                <w:lang w:eastAsia="en-GB"/>
              </w:rPr>
              <w:t>the appropriate approach and the pro</w:t>
            </w:r>
            <w:r>
              <w:rPr>
                <w:rFonts w:eastAsia="Times New Roman"/>
                <w:lang w:eastAsia="en-GB"/>
              </w:rPr>
              <w:t>cess, procedures and timescales for the Business Case development.</w:t>
            </w:r>
          </w:p>
        </w:tc>
      </w:tr>
      <w:tr w:rsidR="00096EF6" w:rsidTr="001133F1">
        <w:tc>
          <w:tcPr>
            <w:tcW w:w="1384" w:type="dxa"/>
          </w:tcPr>
          <w:p w:rsidR="00096EF6" w:rsidRDefault="00096EF6" w:rsidP="001133F1">
            <w:r>
              <w:t>Gate 1</w:t>
            </w:r>
          </w:p>
        </w:tc>
        <w:tc>
          <w:tcPr>
            <w:tcW w:w="7858" w:type="dxa"/>
          </w:tcPr>
          <w:p w:rsidR="00096EF6" w:rsidRDefault="00096EF6" w:rsidP="001133F1">
            <w:r>
              <w:rPr>
                <w:rFonts w:eastAsia="Times New Roman"/>
                <w:lang w:eastAsia="en-GB"/>
              </w:rPr>
              <w:t>P</w:t>
            </w:r>
            <w:r w:rsidRPr="00312A3E">
              <w:rPr>
                <w:rFonts w:eastAsia="Times New Roman"/>
                <w:lang w:eastAsia="en-GB"/>
              </w:rPr>
              <w:t xml:space="preserve">roject promoters must develop a business case commensurate with an Outline Business Case </w:t>
            </w:r>
            <w:r w:rsidR="00A929EB">
              <w:rPr>
                <w:rFonts w:eastAsia="Times New Roman"/>
                <w:lang w:eastAsia="en-GB"/>
              </w:rPr>
              <w:t>in</w:t>
            </w:r>
            <w:r w:rsidR="003279E2">
              <w:rPr>
                <w:rFonts w:eastAsia="Times New Roman"/>
                <w:lang w:eastAsia="en-GB"/>
              </w:rPr>
              <w:t xml:space="preserve"> </w:t>
            </w:r>
            <w:r>
              <w:t>The Green Book</w:t>
            </w:r>
            <w:r w:rsidRPr="00A95899">
              <w:t xml:space="preserve"> guidance on appraisal and evaluation and</w:t>
            </w:r>
            <w:r w:rsidR="00A929EB">
              <w:t xml:space="preserve"> in accordance with the</w:t>
            </w:r>
            <w:r w:rsidRPr="00A95899">
              <w:t xml:space="preserve"> relevant Government departmental guidance.</w:t>
            </w:r>
            <w:r>
              <w:t xml:space="preserve"> </w:t>
            </w:r>
          </w:p>
          <w:p w:rsidR="00096EF6" w:rsidRDefault="00096EF6" w:rsidP="001133F1"/>
          <w:p w:rsidR="00096EF6" w:rsidRDefault="00096EF6" w:rsidP="001133F1">
            <w:r>
              <w:t>The Outline Business Case should be submitted to the SELEP Capital Programme Manager and Independent Technical Evaluator.</w:t>
            </w:r>
          </w:p>
          <w:p w:rsidR="00096EF6" w:rsidRDefault="00096EF6" w:rsidP="001133F1"/>
          <w:p w:rsidR="00096EF6" w:rsidRDefault="00096EF6" w:rsidP="001133F1">
            <w:r>
              <w:t>A Gate 1 review of the Business Case will then be completed by SELEP Independent Technical Evaluator and feedback will be provided to scheme promoters through the completion of a project Business Case review pro-forma.</w:t>
            </w:r>
          </w:p>
          <w:p w:rsidR="00096EF6" w:rsidRDefault="00096EF6" w:rsidP="001133F1"/>
        </w:tc>
      </w:tr>
      <w:tr w:rsidR="00096EF6" w:rsidTr="001133F1">
        <w:tc>
          <w:tcPr>
            <w:tcW w:w="1384" w:type="dxa"/>
          </w:tcPr>
          <w:p w:rsidR="00096EF6" w:rsidRDefault="00096EF6" w:rsidP="001133F1">
            <w:r>
              <w:t>Gate 2</w:t>
            </w:r>
          </w:p>
        </w:tc>
        <w:tc>
          <w:tcPr>
            <w:tcW w:w="7858" w:type="dxa"/>
          </w:tcPr>
          <w:p w:rsidR="00096EF6" w:rsidRDefault="00096EF6" w:rsidP="001133F1">
            <w:pPr>
              <w:rPr>
                <w:rFonts w:eastAsia="Times New Roman"/>
                <w:lang w:eastAsia="en-GB"/>
              </w:rPr>
            </w:pPr>
            <w:r w:rsidRPr="002574BF">
              <w:rPr>
                <w:rFonts w:eastAsia="Times New Roman"/>
                <w:lang w:eastAsia="en-GB"/>
              </w:rPr>
              <w:t>All projects will have an opportunity to make changes to the Outline Business Case</w:t>
            </w:r>
            <w:r>
              <w:rPr>
                <w:rFonts w:eastAsia="Times New Roman"/>
                <w:lang w:eastAsia="en-GB"/>
              </w:rPr>
              <w:t xml:space="preserve">, </w:t>
            </w:r>
            <w:r>
              <w:rPr>
                <w:rFonts w:eastAsia="Times New Roman"/>
                <w:lang w:eastAsia="en-GB"/>
              </w:rPr>
              <w:lastRenderedPageBreak/>
              <w:t>based on the Gate 1 feedback</w:t>
            </w:r>
            <w:r w:rsidRPr="002574BF">
              <w:rPr>
                <w:rFonts w:eastAsia="Times New Roman"/>
                <w:lang w:eastAsia="en-GB"/>
              </w:rPr>
              <w:t xml:space="preserve">. </w:t>
            </w:r>
          </w:p>
          <w:p w:rsidR="00096EF6" w:rsidRDefault="00096EF6" w:rsidP="001133F1">
            <w:pPr>
              <w:rPr>
                <w:rFonts w:eastAsia="Times New Roman"/>
                <w:lang w:eastAsia="en-GB"/>
              </w:rPr>
            </w:pPr>
          </w:p>
          <w:p w:rsidR="00096EF6" w:rsidRPr="002574BF" w:rsidRDefault="00096EF6" w:rsidP="001133F1">
            <w:pPr>
              <w:rPr>
                <w:rFonts w:eastAsia="Times New Roman"/>
                <w:lang w:eastAsia="en-GB"/>
              </w:rPr>
            </w:pPr>
            <w:r w:rsidRPr="002574BF">
              <w:rPr>
                <w:rFonts w:eastAsia="Times New Roman"/>
                <w:lang w:eastAsia="en-GB"/>
              </w:rPr>
              <w:t>Once resubmitted, the Independent Technical Evaluator will conduct the Gate 2 Assurance Review, using the same</w:t>
            </w:r>
            <w:r>
              <w:rPr>
                <w:rFonts w:eastAsia="Times New Roman"/>
                <w:lang w:eastAsia="en-GB"/>
              </w:rPr>
              <w:t xml:space="preserve"> Business Case</w:t>
            </w:r>
            <w:r w:rsidRPr="002574BF">
              <w:rPr>
                <w:rFonts w:eastAsia="Times New Roman"/>
                <w:lang w:eastAsia="en-GB"/>
              </w:rPr>
              <w:t xml:space="preserve"> assessment template for Gate 1. </w:t>
            </w:r>
          </w:p>
          <w:p w:rsidR="00096EF6" w:rsidRDefault="00096EF6" w:rsidP="001133F1">
            <w:pPr>
              <w:pStyle w:val="ListParagraph"/>
              <w:ind w:left="993"/>
              <w:rPr>
                <w:rFonts w:eastAsia="Times New Roman"/>
              </w:rPr>
            </w:pPr>
          </w:p>
          <w:p w:rsidR="00096EF6" w:rsidRPr="002574BF" w:rsidRDefault="00096EF6" w:rsidP="001133F1">
            <w:pPr>
              <w:rPr>
                <w:rFonts w:eastAsia="Times New Roman"/>
                <w:lang w:eastAsia="en-GB"/>
              </w:rPr>
            </w:pPr>
            <w:r w:rsidRPr="002574BF">
              <w:rPr>
                <w:rFonts w:eastAsia="Times New Roman"/>
                <w:lang w:eastAsia="en-GB"/>
              </w:rPr>
              <w:t xml:space="preserve">On the basis of the Gate 2 Assurance Review, recommendations are made by the Independent Technical Evaluator to the SELEP Accountability Board on the Value for Money Assessment and the certainty of that assessment’s accuracy. </w:t>
            </w:r>
          </w:p>
          <w:p w:rsidR="00096EF6" w:rsidRPr="002574BF" w:rsidRDefault="00096EF6" w:rsidP="001133F1">
            <w:pPr>
              <w:pStyle w:val="ListParagraph"/>
              <w:rPr>
                <w:rFonts w:eastAsia="Times New Roman"/>
              </w:rPr>
            </w:pPr>
          </w:p>
          <w:p w:rsidR="00096EF6" w:rsidRPr="002574BF" w:rsidRDefault="00096EF6" w:rsidP="001133F1">
            <w:pPr>
              <w:rPr>
                <w:rFonts w:eastAsia="Times New Roman"/>
                <w:lang w:eastAsia="en-GB"/>
              </w:rPr>
            </w:pPr>
            <w:r w:rsidRPr="002574BF">
              <w:rPr>
                <w:rFonts w:eastAsia="Times New Roman"/>
                <w:lang w:eastAsia="en-GB"/>
              </w:rPr>
              <w:t xml:space="preserve">The Accountability Board will then decide whether or not to approve the funding allocation. </w:t>
            </w:r>
          </w:p>
          <w:p w:rsidR="00096EF6" w:rsidRDefault="00096EF6" w:rsidP="001133F1"/>
        </w:tc>
      </w:tr>
      <w:tr w:rsidR="00096EF6" w:rsidTr="001133F1">
        <w:trPr>
          <w:trHeight w:val="87"/>
        </w:trPr>
        <w:tc>
          <w:tcPr>
            <w:tcW w:w="9242" w:type="dxa"/>
            <w:gridSpan w:val="2"/>
            <w:shd w:val="clear" w:color="auto" w:fill="A6A6A6" w:themeFill="background1" w:themeFillShade="A6"/>
          </w:tcPr>
          <w:p w:rsidR="00096EF6" w:rsidRDefault="00096EF6" w:rsidP="001133F1"/>
        </w:tc>
      </w:tr>
      <w:tr w:rsidR="00096EF6" w:rsidTr="001133F1">
        <w:tc>
          <w:tcPr>
            <w:tcW w:w="1384" w:type="dxa"/>
          </w:tcPr>
          <w:p w:rsidR="00096EF6" w:rsidRDefault="00096EF6" w:rsidP="001133F1">
            <w:r>
              <w:t>Gate 4 &amp; 5</w:t>
            </w:r>
          </w:p>
        </w:tc>
        <w:tc>
          <w:tcPr>
            <w:tcW w:w="7858" w:type="dxa"/>
          </w:tcPr>
          <w:p w:rsidR="00096EF6" w:rsidRDefault="00096EF6" w:rsidP="001133F1">
            <w:pPr>
              <w:rPr>
                <w:rFonts w:eastAsia="Times New Roman"/>
                <w:lang w:eastAsia="en-GB"/>
              </w:rPr>
            </w:pPr>
            <w:r>
              <w:rPr>
                <w:rFonts w:eastAsia="Times New Roman"/>
                <w:lang w:eastAsia="en-GB"/>
              </w:rPr>
              <w:t>L</w:t>
            </w:r>
            <w:r w:rsidRPr="00A95899">
              <w:rPr>
                <w:rFonts w:eastAsia="Times New Roman"/>
                <w:lang w:eastAsia="en-GB"/>
              </w:rPr>
              <w:t xml:space="preserve">arge schemes over </w:t>
            </w:r>
            <w:r>
              <w:rPr>
                <w:rFonts w:eastAsia="Times New Roman"/>
                <w:lang w:eastAsia="en-GB"/>
              </w:rPr>
              <w:t>£8</w:t>
            </w:r>
            <w:r w:rsidRPr="00A95899">
              <w:rPr>
                <w:rFonts w:eastAsia="Times New Roman"/>
                <w:lang w:eastAsia="en-GB"/>
              </w:rPr>
              <w:t xml:space="preserve"> million and those c</w:t>
            </w:r>
            <w:r w:rsidRPr="00393E99">
              <w:rPr>
                <w:rFonts w:eastAsia="Times New Roman"/>
                <w:lang w:eastAsia="en-GB"/>
              </w:rPr>
              <w:t>onsidered high risk by the</w:t>
            </w:r>
            <w:r>
              <w:rPr>
                <w:rFonts w:eastAsia="Times New Roman"/>
                <w:lang w:eastAsia="en-GB"/>
              </w:rPr>
              <w:t xml:space="preserve"> Accountability Board will be</w:t>
            </w:r>
            <w:r w:rsidRPr="00A95899">
              <w:rPr>
                <w:rFonts w:eastAsia="Times New Roman"/>
                <w:lang w:eastAsia="en-GB"/>
              </w:rPr>
              <w:t xml:space="preserve"> required to go through Gate</w:t>
            </w:r>
            <w:r w:rsidR="000C0DBC">
              <w:rPr>
                <w:rFonts w:eastAsia="Times New Roman"/>
                <w:lang w:eastAsia="en-GB"/>
              </w:rPr>
              <w:t>s</w:t>
            </w:r>
            <w:r w:rsidRPr="00A95899">
              <w:rPr>
                <w:rFonts w:eastAsia="Times New Roman"/>
                <w:lang w:eastAsia="en-GB"/>
              </w:rPr>
              <w:t xml:space="preserve"> 4 and 5</w:t>
            </w:r>
            <w:r>
              <w:rPr>
                <w:rFonts w:eastAsia="Times New Roman"/>
                <w:lang w:eastAsia="en-GB"/>
              </w:rPr>
              <w:t>,</w:t>
            </w:r>
            <w:r w:rsidRPr="00A95899">
              <w:rPr>
                <w:rFonts w:eastAsia="Times New Roman"/>
                <w:lang w:eastAsia="en-GB"/>
              </w:rPr>
              <w:t xml:space="preserve"> to develop a Full Business Case</w:t>
            </w:r>
            <w:r>
              <w:rPr>
                <w:rFonts w:eastAsia="Times New Roman"/>
                <w:lang w:eastAsia="en-GB"/>
              </w:rPr>
              <w:t xml:space="preserve">. </w:t>
            </w:r>
          </w:p>
          <w:p w:rsidR="00096EF6" w:rsidRDefault="00096EF6" w:rsidP="001133F1">
            <w:pPr>
              <w:rPr>
                <w:rFonts w:eastAsia="Times New Roman"/>
                <w:lang w:eastAsia="en-GB"/>
              </w:rPr>
            </w:pPr>
          </w:p>
          <w:p w:rsidR="00096EF6" w:rsidRDefault="00096EF6" w:rsidP="001133F1">
            <w:pPr>
              <w:rPr>
                <w:rFonts w:eastAsia="Times New Roman"/>
                <w:lang w:eastAsia="en-GB"/>
              </w:rPr>
            </w:pPr>
            <w:r>
              <w:rPr>
                <w:rFonts w:eastAsia="Times New Roman"/>
                <w:lang w:eastAsia="en-GB"/>
              </w:rPr>
              <w:t xml:space="preserve">At Gate 2, a proportion of the funding will be approved to support the development of the project prior to the approval of the Full Business Case. </w:t>
            </w:r>
          </w:p>
          <w:p w:rsidR="00096EF6" w:rsidRDefault="00096EF6" w:rsidP="001133F1">
            <w:pPr>
              <w:rPr>
                <w:rFonts w:eastAsia="Times New Roman"/>
                <w:lang w:eastAsia="en-GB"/>
              </w:rPr>
            </w:pPr>
          </w:p>
          <w:p w:rsidR="00096EF6" w:rsidRDefault="00096EF6" w:rsidP="001133F1">
            <w:pPr>
              <w:rPr>
                <w:rFonts w:eastAsia="Times New Roman"/>
                <w:lang w:eastAsia="en-GB"/>
              </w:rPr>
            </w:pPr>
            <w:r>
              <w:rPr>
                <w:rFonts w:eastAsia="Times New Roman"/>
                <w:lang w:eastAsia="en-GB"/>
              </w:rPr>
              <w:t>At Gate</w:t>
            </w:r>
            <w:r w:rsidR="000C0DBC">
              <w:rPr>
                <w:rFonts w:eastAsia="Times New Roman"/>
                <w:lang w:eastAsia="en-GB"/>
              </w:rPr>
              <w:t>s</w:t>
            </w:r>
            <w:r>
              <w:rPr>
                <w:rFonts w:eastAsia="Times New Roman"/>
                <w:lang w:eastAsia="en-GB"/>
              </w:rPr>
              <w:t xml:space="preserve"> 4 and 5, a review of the Full Business Case is required. </w:t>
            </w:r>
          </w:p>
          <w:p w:rsidR="00096EF6" w:rsidRDefault="00096EF6" w:rsidP="001133F1">
            <w:pPr>
              <w:rPr>
                <w:rFonts w:eastAsia="Times New Roman"/>
                <w:lang w:eastAsia="en-GB"/>
              </w:rPr>
            </w:pPr>
          </w:p>
          <w:p w:rsidR="00096EF6" w:rsidRDefault="00096EF6" w:rsidP="001133F1">
            <w:pPr>
              <w:rPr>
                <w:rFonts w:eastAsia="Times New Roman"/>
                <w:lang w:eastAsia="en-GB"/>
              </w:rPr>
            </w:pPr>
            <w:r>
              <w:rPr>
                <w:rFonts w:eastAsia="Times New Roman"/>
                <w:lang w:eastAsia="en-GB"/>
              </w:rPr>
              <w:t xml:space="preserve">The Gate 5 review should take place following detailed design and procurement of the construction </w:t>
            </w:r>
            <w:r w:rsidR="003279E2">
              <w:rPr>
                <w:rFonts w:eastAsia="Times New Roman"/>
                <w:lang w:eastAsia="en-GB"/>
              </w:rPr>
              <w:t>contract, but in advance of the</w:t>
            </w:r>
            <w:r>
              <w:rPr>
                <w:rFonts w:eastAsia="Times New Roman"/>
                <w:lang w:eastAsia="en-GB"/>
              </w:rPr>
              <w:t xml:space="preserve"> contract award and construction works commencing. </w:t>
            </w:r>
          </w:p>
          <w:p w:rsidR="00096EF6" w:rsidRDefault="00096EF6" w:rsidP="001133F1">
            <w:pPr>
              <w:rPr>
                <w:rFonts w:eastAsia="Times New Roman"/>
                <w:lang w:eastAsia="en-GB"/>
              </w:rPr>
            </w:pPr>
          </w:p>
          <w:p w:rsidR="00096EF6" w:rsidRDefault="00096EF6" w:rsidP="001133F1">
            <w:pPr>
              <w:rPr>
                <w:rFonts w:eastAsia="Times New Roman"/>
                <w:lang w:eastAsia="en-GB"/>
              </w:rPr>
            </w:pPr>
            <w:r>
              <w:rPr>
                <w:rFonts w:eastAsia="Times New Roman"/>
                <w:lang w:eastAsia="en-GB"/>
              </w:rPr>
              <w:t xml:space="preserve">Following the Gate 5 Independent Technical Evaluator’s review of the Full Business Case, recommendations will be made to the SELEP Accountability Board for the approval of the full funding allocation. </w:t>
            </w:r>
          </w:p>
          <w:p w:rsidR="00096EF6" w:rsidRDefault="00096EF6" w:rsidP="001133F1"/>
        </w:tc>
      </w:tr>
    </w:tbl>
    <w:p w:rsidR="002B071A" w:rsidRDefault="002B071A" w:rsidP="003D48A3">
      <w:pPr>
        <w:autoSpaceDE w:val="0"/>
        <w:autoSpaceDN w:val="0"/>
        <w:adjustRightInd w:val="0"/>
        <w:spacing w:after="0" w:line="240" w:lineRule="auto"/>
        <w:rPr>
          <w:rFonts w:eastAsia="Times New Roman"/>
        </w:rPr>
      </w:pPr>
    </w:p>
    <w:p w:rsidR="003D48A3" w:rsidRDefault="003D48A3" w:rsidP="003D48A3">
      <w:pPr>
        <w:autoSpaceDE w:val="0"/>
        <w:autoSpaceDN w:val="0"/>
        <w:adjustRightInd w:val="0"/>
        <w:spacing w:after="0" w:line="240" w:lineRule="auto"/>
        <w:rPr>
          <w:rFonts w:eastAsia="Times New Roman"/>
        </w:rPr>
      </w:pPr>
    </w:p>
    <w:p w:rsidR="003D48A3" w:rsidRDefault="003D48A3" w:rsidP="003D48A3">
      <w:pPr>
        <w:autoSpaceDE w:val="0"/>
        <w:autoSpaceDN w:val="0"/>
        <w:adjustRightInd w:val="0"/>
        <w:spacing w:after="0" w:line="240" w:lineRule="auto"/>
        <w:rPr>
          <w:rFonts w:eastAsia="Times New Roman"/>
          <w:lang w:eastAsia="en-GB"/>
        </w:rPr>
      </w:pPr>
      <w:r>
        <w:rPr>
          <w:rFonts w:eastAsia="Times New Roman"/>
        </w:rPr>
        <w:t xml:space="preserve">Gate 3 </w:t>
      </w:r>
      <w:r w:rsidR="002B071A">
        <w:rPr>
          <w:rFonts w:eastAsia="Times New Roman"/>
        </w:rPr>
        <w:t xml:space="preserve">is required where the Business Case for a Local Growth Fund project is also been approved by the Department for Transport or by another Government Department or </w:t>
      </w:r>
      <w:r w:rsidR="00B80691">
        <w:rPr>
          <w:rFonts w:eastAsia="Times New Roman"/>
        </w:rPr>
        <w:t>Statutory</w:t>
      </w:r>
      <w:r w:rsidR="002B071A">
        <w:rPr>
          <w:rFonts w:eastAsia="Times New Roman"/>
        </w:rPr>
        <w:t xml:space="preserve"> Body. </w:t>
      </w:r>
      <w:r w:rsidR="00B80691">
        <w:rPr>
          <w:rFonts w:eastAsia="Times New Roman"/>
          <w:lang w:eastAsia="en-GB"/>
        </w:rPr>
        <w:t xml:space="preserve"> </w:t>
      </w:r>
      <w:r w:rsidRPr="00A95899">
        <w:rPr>
          <w:rFonts w:eastAsia="Times New Roman"/>
          <w:lang w:eastAsia="en-GB"/>
        </w:rPr>
        <w:t>In these instances, the role of the Independent Technical Evaluator</w:t>
      </w:r>
      <w:r>
        <w:rPr>
          <w:rFonts w:eastAsia="Times New Roman"/>
          <w:lang w:eastAsia="en-GB"/>
        </w:rPr>
        <w:t xml:space="preserve"> is</w:t>
      </w:r>
      <w:r w:rsidRPr="00A95899">
        <w:rPr>
          <w:rFonts w:eastAsia="Times New Roman"/>
          <w:lang w:eastAsia="en-GB"/>
        </w:rPr>
        <w:t xml:space="preserve"> to review the business case and provide professional advice to the Accountability Board of any key risks or issues arising from that assessment that need to be considered by the board to support the associated decision for funding.</w:t>
      </w:r>
    </w:p>
    <w:p w:rsidR="003D48A3" w:rsidRPr="00E2768D" w:rsidRDefault="003D48A3" w:rsidP="003D48A3">
      <w:pPr>
        <w:autoSpaceDE w:val="0"/>
        <w:autoSpaceDN w:val="0"/>
        <w:adjustRightInd w:val="0"/>
        <w:spacing w:after="0" w:line="240" w:lineRule="auto"/>
        <w:rPr>
          <w:rFonts w:eastAsia="Times New Roman"/>
          <w:b/>
        </w:rPr>
      </w:pPr>
    </w:p>
    <w:p w:rsidR="003D48A3" w:rsidRPr="00E2768D" w:rsidRDefault="003D48A3" w:rsidP="003D48A3">
      <w:pPr>
        <w:autoSpaceDE w:val="0"/>
        <w:autoSpaceDN w:val="0"/>
        <w:adjustRightInd w:val="0"/>
        <w:spacing w:after="0" w:line="240" w:lineRule="auto"/>
        <w:rPr>
          <w:rFonts w:eastAsia="Times New Roman"/>
          <w:b/>
        </w:rPr>
      </w:pPr>
    </w:p>
    <w:p w:rsidR="003D48A3" w:rsidRPr="000A7180" w:rsidRDefault="003D48A3" w:rsidP="003D48A3">
      <w:pPr>
        <w:autoSpaceDE w:val="0"/>
        <w:autoSpaceDN w:val="0"/>
        <w:adjustRightInd w:val="0"/>
        <w:spacing w:after="0" w:line="240" w:lineRule="auto"/>
        <w:rPr>
          <w:rFonts w:eastAsia="Times New Roman"/>
          <w:lang w:eastAsia="en-GB"/>
        </w:rPr>
      </w:pPr>
    </w:p>
    <w:p w:rsidR="003D48A3" w:rsidRDefault="003D48A3"/>
    <w:sectPr w:rsidR="003D4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3"/>
    <w:rsid w:val="00096EF6"/>
    <w:rsid w:val="000C0DBC"/>
    <w:rsid w:val="001D32AB"/>
    <w:rsid w:val="002B071A"/>
    <w:rsid w:val="003279E2"/>
    <w:rsid w:val="003D48A3"/>
    <w:rsid w:val="006A12E2"/>
    <w:rsid w:val="00A929EB"/>
    <w:rsid w:val="00B80691"/>
    <w:rsid w:val="00CC7983"/>
    <w:rsid w:val="00FB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A3"/>
    <w:pPr>
      <w:ind w:left="720"/>
      <w:contextualSpacing/>
    </w:pPr>
    <w:rPr>
      <w:lang w:eastAsia="en-GB"/>
    </w:rPr>
  </w:style>
  <w:style w:type="character" w:styleId="Hyperlink">
    <w:name w:val="Hyperlink"/>
    <w:basedOn w:val="DefaultParagraphFont"/>
    <w:uiPriority w:val="99"/>
    <w:unhideWhenUsed/>
    <w:rsid w:val="003D48A3"/>
    <w:rPr>
      <w:color w:val="0000FF" w:themeColor="hyperlink"/>
      <w:u w:val="single"/>
    </w:rPr>
  </w:style>
  <w:style w:type="table" w:styleId="TableGrid">
    <w:name w:val="Table Grid"/>
    <w:basedOn w:val="TableNormal"/>
    <w:uiPriority w:val="59"/>
    <w:rsid w:val="0009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A3"/>
    <w:pPr>
      <w:ind w:left="720"/>
      <w:contextualSpacing/>
    </w:pPr>
    <w:rPr>
      <w:lang w:eastAsia="en-GB"/>
    </w:rPr>
  </w:style>
  <w:style w:type="character" w:styleId="Hyperlink">
    <w:name w:val="Hyperlink"/>
    <w:basedOn w:val="DefaultParagraphFont"/>
    <w:uiPriority w:val="99"/>
    <w:unhideWhenUsed/>
    <w:rsid w:val="003D48A3"/>
    <w:rPr>
      <w:color w:val="0000FF" w:themeColor="hyperlink"/>
      <w:u w:val="single"/>
    </w:rPr>
  </w:style>
  <w:style w:type="table" w:styleId="TableGrid">
    <w:name w:val="Table Grid"/>
    <w:basedOn w:val="TableNormal"/>
    <w:uiPriority w:val="59"/>
    <w:rsid w:val="0009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nsport-analysis-guidance-webtag" TargetMode="External"/><Relationship Id="rId3" Type="http://schemas.openxmlformats.org/officeDocument/2006/relationships/settings" Target="settings.xml"/><Relationship Id="rId7" Type="http://schemas.openxmlformats.org/officeDocument/2006/relationships/hyperlink" Target="https://www.gov.uk/government/publications/the-green-book-appraisal-and-evaluation-in-central-govern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Business%20Case%20Assessment%20Template%20Non%20Transport.docx" TargetMode="External"/><Relationship Id="rId11" Type="http://schemas.openxmlformats.org/officeDocument/2006/relationships/theme" Target="theme/theme1.xml"/><Relationship Id="rId5" Type="http://schemas.openxmlformats.org/officeDocument/2006/relationships/hyperlink" Target="Business%20Case%20Assessment%20Templat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epartment-for-communities-and-local-government-apprais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rhiannon.mort</dc:creator>
  <cp:lastModifiedBy>amy.beckett</cp:lastModifiedBy>
  <cp:revision>3</cp:revision>
  <dcterms:created xsi:type="dcterms:W3CDTF">2017-07-28T15:44:00Z</dcterms:created>
  <dcterms:modified xsi:type="dcterms:W3CDTF">2017-08-01T12:26:00Z</dcterms:modified>
</cp:coreProperties>
</file>