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6567" w:rsidRDefault="00DA6EEB" w:rsidP="00DA6EEB">
      <w:pPr>
        <w:jc w:val="right"/>
      </w:pPr>
      <w:bookmarkStart w:id="0" w:name="_GoBack"/>
      <w:bookmarkEnd w:id="0"/>
      <w:r w:rsidRPr="00DA6EEB">
        <w:rPr>
          <w:b/>
        </w:rPr>
        <w:t>Forward Plan reference number:</w:t>
      </w:r>
      <w:r>
        <w:t xml:space="preserve"> </w:t>
      </w:r>
      <w:r w:rsidR="005720A7">
        <w:t>n/a</w:t>
      </w:r>
    </w:p>
    <w:tbl>
      <w:tblPr>
        <w:tblStyle w:val="TableGrid"/>
        <w:tblW w:w="0" w:type="auto"/>
        <w:tblLook w:val="04A0" w:firstRow="1" w:lastRow="0" w:firstColumn="1" w:lastColumn="0" w:noHBand="0" w:noVBand="1"/>
      </w:tblPr>
      <w:tblGrid>
        <w:gridCol w:w="4561"/>
        <w:gridCol w:w="4681"/>
      </w:tblGrid>
      <w:tr w:rsidR="00DA6EEB" w:rsidRPr="00012E3E" w:rsidTr="00CC48D5">
        <w:tc>
          <w:tcPr>
            <w:tcW w:w="9242" w:type="dxa"/>
            <w:gridSpan w:val="2"/>
          </w:tcPr>
          <w:p w:rsidR="00DA6EEB" w:rsidRPr="00012E3E" w:rsidRDefault="006121B1" w:rsidP="00FD3B72">
            <w:pPr>
              <w:autoSpaceDE w:val="0"/>
              <w:autoSpaceDN w:val="0"/>
              <w:adjustRightInd w:val="0"/>
              <w:spacing w:before="80" w:after="80"/>
              <w:rPr>
                <w:rFonts w:ascii="Arial" w:hAnsi="Arial" w:cs="Arial"/>
                <w:i/>
                <w:sz w:val="24"/>
                <w:szCs w:val="24"/>
              </w:rPr>
            </w:pPr>
            <w:r w:rsidRPr="00012E3E">
              <w:rPr>
                <w:rFonts w:ascii="Arial" w:hAnsi="Arial" w:cs="Arial"/>
                <w:b/>
                <w:sz w:val="24"/>
                <w:szCs w:val="24"/>
              </w:rPr>
              <w:t xml:space="preserve">Report title: </w:t>
            </w:r>
            <w:r w:rsidR="00FD3B72" w:rsidRPr="00FD3B72">
              <w:rPr>
                <w:rFonts w:ascii="Arial" w:hAnsi="Arial" w:cs="Arial"/>
                <w:sz w:val="24"/>
                <w:szCs w:val="24"/>
              </w:rPr>
              <w:t>To Agree Sector Support Funding Grant Allocations</w:t>
            </w:r>
          </w:p>
        </w:tc>
      </w:tr>
      <w:tr w:rsidR="00914903" w:rsidRPr="00012E3E" w:rsidTr="00CC48D5">
        <w:tc>
          <w:tcPr>
            <w:tcW w:w="9242" w:type="dxa"/>
            <w:gridSpan w:val="2"/>
          </w:tcPr>
          <w:p w:rsidR="00914903" w:rsidRPr="007401A6" w:rsidRDefault="00914903" w:rsidP="00FD3B72">
            <w:pPr>
              <w:autoSpaceDE w:val="0"/>
              <w:autoSpaceDN w:val="0"/>
              <w:adjustRightInd w:val="0"/>
              <w:spacing w:before="80" w:after="80"/>
              <w:rPr>
                <w:rFonts w:ascii="Arial" w:hAnsi="Arial" w:cs="Arial"/>
                <w:i/>
                <w:sz w:val="24"/>
                <w:szCs w:val="24"/>
              </w:rPr>
            </w:pPr>
            <w:r w:rsidRPr="002D500A">
              <w:rPr>
                <w:rFonts w:ascii="Arial" w:hAnsi="Arial" w:cs="Arial"/>
                <w:b/>
                <w:sz w:val="24"/>
                <w:szCs w:val="24"/>
              </w:rPr>
              <w:t xml:space="preserve">Report </w:t>
            </w:r>
            <w:r>
              <w:rPr>
                <w:rFonts w:ascii="Arial" w:hAnsi="Arial" w:cs="Arial"/>
                <w:b/>
                <w:sz w:val="24"/>
                <w:szCs w:val="24"/>
              </w:rPr>
              <w:t xml:space="preserve">to: </w:t>
            </w:r>
            <w:r w:rsidR="00FD3B72" w:rsidRPr="00FD3B72">
              <w:rPr>
                <w:rFonts w:ascii="Arial" w:hAnsi="Arial" w:cs="Arial"/>
                <w:sz w:val="24"/>
                <w:szCs w:val="24"/>
              </w:rPr>
              <w:t>Managing Director of the SELEP</w:t>
            </w:r>
          </w:p>
        </w:tc>
      </w:tr>
      <w:tr w:rsidR="002D500A" w:rsidRPr="00012E3E" w:rsidTr="00CC48D5">
        <w:tc>
          <w:tcPr>
            <w:tcW w:w="9242" w:type="dxa"/>
            <w:gridSpan w:val="2"/>
          </w:tcPr>
          <w:p w:rsidR="002D500A" w:rsidRPr="002D500A" w:rsidRDefault="002D500A" w:rsidP="00FD3B72">
            <w:pPr>
              <w:autoSpaceDE w:val="0"/>
              <w:autoSpaceDN w:val="0"/>
              <w:adjustRightInd w:val="0"/>
              <w:spacing w:before="80" w:after="80"/>
              <w:rPr>
                <w:rFonts w:ascii="Arial" w:hAnsi="Arial" w:cs="Arial"/>
                <w:b/>
                <w:sz w:val="24"/>
                <w:szCs w:val="24"/>
              </w:rPr>
            </w:pPr>
            <w:r w:rsidRPr="002D500A">
              <w:rPr>
                <w:rFonts w:ascii="Arial" w:hAnsi="Arial" w:cs="Arial"/>
                <w:b/>
                <w:sz w:val="24"/>
                <w:szCs w:val="24"/>
              </w:rPr>
              <w:t xml:space="preserve">Report </w:t>
            </w:r>
            <w:r w:rsidR="006121B1">
              <w:rPr>
                <w:rFonts w:ascii="Arial" w:hAnsi="Arial" w:cs="Arial"/>
                <w:b/>
                <w:sz w:val="24"/>
                <w:szCs w:val="24"/>
              </w:rPr>
              <w:t>author</w:t>
            </w:r>
            <w:r>
              <w:rPr>
                <w:rFonts w:ascii="Arial" w:hAnsi="Arial" w:cs="Arial"/>
                <w:b/>
                <w:sz w:val="24"/>
                <w:szCs w:val="24"/>
              </w:rPr>
              <w:t>:</w:t>
            </w:r>
            <w:r w:rsidRPr="002D500A">
              <w:rPr>
                <w:rFonts w:ascii="Arial" w:hAnsi="Arial" w:cs="Arial"/>
                <w:b/>
                <w:sz w:val="24"/>
                <w:szCs w:val="24"/>
              </w:rPr>
              <w:t xml:space="preserve"> </w:t>
            </w:r>
            <w:r w:rsidR="00FD3B72" w:rsidRPr="00FD3B72">
              <w:rPr>
                <w:rFonts w:ascii="Arial" w:hAnsi="Arial" w:cs="Arial"/>
                <w:sz w:val="24"/>
                <w:szCs w:val="24"/>
              </w:rPr>
              <w:t>Rhiannon Mort, SELEP Capital Programme Manager</w:t>
            </w:r>
          </w:p>
        </w:tc>
      </w:tr>
      <w:tr w:rsidR="00DA6EEB" w:rsidRPr="00012E3E" w:rsidTr="00CC48D5">
        <w:tc>
          <w:tcPr>
            <w:tcW w:w="4561" w:type="dxa"/>
          </w:tcPr>
          <w:p w:rsidR="00DA6EEB" w:rsidRPr="007401A6" w:rsidRDefault="00CC48D5" w:rsidP="005720A7">
            <w:pPr>
              <w:autoSpaceDE w:val="0"/>
              <w:autoSpaceDN w:val="0"/>
              <w:adjustRightInd w:val="0"/>
              <w:spacing w:before="80" w:after="80"/>
              <w:rPr>
                <w:rFonts w:ascii="Arial" w:hAnsi="Arial" w:cs="Arial"/>
                <w:i/>
                <w:sz w:val="24"/>
                <w:szCs w:val="24"/>
              </w:rPr>
            </w:pPr>
            <w:r w:rsidRPr="00012E3E">
              <w:rPr>
                <w:rFonts w:ascii="Arial" w:hAnsi="Arial" w:cs="Arial"/>
                <w:b/>
                <w:sz w:val="24"/>
                <w:szCs w:val="24"/>
              </w:rPr>
              <w:t xml:space="preserve">Date: </w:t>
            </w:r>
            <w:r w:rsidR="00FF7A9B">
              <w:rPr>
                <w:rFonts w:ascii="Arial" w:hAnsi="Arial" w:cs="Arial"/>
                <w:sz w:val="24"/>
                <w:szCs w:val="24"/>
              </w:rPr>
              <w:t>25</w:t>
            </w:r>
            <w:r w:rsidR="005720A7" w:rsidRPr="00FB4769">
              <w:rPr>
                <w:rFonts w:ascii="Arial" w:hAnsi="Arial" w:cs="Arial"/>
                <w:sz w:val="24"/>
                <w:szCs w:val="24"/>
              </w:rPr>
              <w:t>/04/18</w:t>
            </w:r>
          </w:p>
        </w:tc>
        <w:tc>
          <w:tcPr>
            <w:tcW w:w="4681" w:type="dxa"/>
          </w:tcPr>
          <w:p w:rsidR="00DA6EEB" w:rsidRPr="00012E3E" w:rsidRDefault="00DA6EEB" w:rsidP="00FD3B72">
            <w:pPr>
              <w:autoSpaceDE w:val="0"/>
              <w:autoSpaceDN w:val="0"/>
              <w:adjustRightInd w:val="0"/>
              <w:spacing w:before="80" w:after="80"/>
              <w:rPr>
                <w:rFonts w:ascii="Arial" w:hAnsi="Arial" w:cs="Arial"/>
                <w:i/>
                <w:sz w:val="24"/>
                <w:szCs w:val="24"/>
              </w:rPr>
            </w:pPr>
            <w:r w:rsidRPr="00012E3E">
              <w:rPr>
                <w:rFonts w:ascii="Arial" w:hAnsi="Arial" w:cs="Arial"/>
                <w:b/>
                <w:sz w:val="24"/>
                <w:szCs w:val="24"/>
              </w:rPr>
              <w:t xml:space="preserve">For: </w:t>
            </w:r>
            <w:r w:rsidRPr="00012E3E">
              <w:rPr>
                <w:rFonts w:ascii="Arial" w:hAnsi="Arial" w:cs="Arial"/>
                <w:sz w:val="24"/>
                <w:szCs w:val="24"/>
              </w:rPr>
              <w:t>Decision</w:t>
            </w:r>
          </w:p>
        </w:tc>
      </w:tr>
      <w:tr w:rsidR="008F4CCD" w:rsidRPr="00012E3E" w:rsidTr="00CC48D5">
        <w:tc>
          <w:tcPr>
            <w:tcW w:w="9242" w:type="dxa"/>
            <w:gridSpan w:val="2"/>
          </w:tcPr>
          <w:p w:rsidR="008F4CCD" w:rsidRPr="007401A6" w:rsidRDefault="008F4CCD" w:rsidP="007401A6">
            <w:pPr>
              <w:autoSpaceDE w:val="0"/>
              <w:autoSpaceDN w:val="0"/>
              <w:adjustRightInd w:val="0"/>
              <w:spacing w:before="80" w:after="80"/>
              <w:rPr>
                <w:rFonts w:ascii="Arial" w:hAnsi="Arial" w:cs="Arial"/>
                <w:b/>
                <w:i/>
                <w:sz w:val="24"/>
                <w:szCs w:val="24"/>
              </w:rPr>
            </w:pPr>
            <w:r w:rsidRPr="008F4CCD">
              <w:rPr>
                <w:rFonts w:ascii="Arial" w:hAnsi="Arial" w:cs="Arial"/>
                <w:b/>
                <w:sz w:val="24"/>
                <w:szCs w:val="24"/>
              </w:rPr>
              <w:t xml:space="preserve">Enquiries to: </w:t>
            </w:r>
            <w:hyperlink r:id="rId11" w:history="1">
              <w:r w:rsidR="00FD3B72" w:rsidRPr="00FD3B72">
                <w:rPr>
                  <w:rStyle w:val="Hyperlink"/>
                  <w:rFonts w:ascii="Arial" w:hAnsi="Arial" w:cs="Arial"/>
                  <w:sz w:val="24"/>
                  <w:szCs w:val="24"/>
                </w:rPr>
                <w:t>Rhiannon.mort@essex.gov.uk</w:t>
              </w:r>
            </w:hyperlink>
          </w:p>
        </w:tc>
      </w:tr>
      <w:tr w:rsidR="003076C4" w:rsidRPr="00012E3E" w:rsidTr="00CC48D5">
        <w:tc>
          <w:tcPr>
            <w:tcW w:w="9242" w:type="dxa"/>
            <w:gridSpan w:val="2"/>
          </w:tcPr>
          <w:p w:rsidR="003076C4" w:rsidRPr="00FD3B72" w:rsidRDefault="003076C4" w:rsidP="00FD3B72">
            <w:pPr>
              <w:autoSpaceDE w:val="0"/>
              <w:autoSpaceDN w:val="0"/>
              <w:adjustRightInd w:val="0"/>
              <w:spacing w:before="80" w:after="80"/>
              <w:rPr>
                <w:rFonts w:ascii="Arial" w:hAnsi="Arial" w:cs="Arial"/>
                <w:i/>
                <w:sz w:val="24"/>
                <w:szCs w:val="24"/>
              </w:rPr>
            </w:pPr>
            <w:r w:rsidRPr="00012E3E">
              <w:rPr>
                <w:rFonts w:ascii="Arial" w:hAnsi="Arial" w:cs="Arial"/>
                <w:b/>
                <w:sz w:val="24"/>
                <w:szCs w:val="24"/>
              </w:rPr>
              <w:t xml:space="preserve">Divisions affected: </w:t>
            </w:r>
            <w:r w:rsidR="00910B26" w:rsidRPr="00910B26">
              <w:rPr>
                <w:rFonts w:ascii="Arial" w:hAnsi="Arial" w:cs="Arial"/>
                <w:sz w:val="24"/>
                <w:szCs w:val="24"/>
              </w:rPr>
              <w:t>Pan-</w:t>
            </w:r>
            <w:r w:rsidR="005720A7" w:rsidRPr="00910B26">
              <w:rPr>
                <w:rFonts w:ascii="Arial" w:hAnsi="Arial" w:cs="Arial"/>
                <w:sz w:val="24"/>
                <w:szCs w:val="24"/>
              </w:rPr>
              <w:t xml:space="preserve">SELEP, but primarily that of </w:t>
            </w:r>
            <w:r w:rsidR="00910B26" w:rsidRPr="00910B26">
              <w:rPr>
                <w:rFonts w:ascii="Arial" w:hAnsi="Arial" w:cs="Arial"/>
                <w:sz w:val="24"/>
                <w:szCs w:val="24"/>
              </w:rPr>
              <w:t>North Kent: Ebbsfleet (Dartford/Gravesham), Innovation Park Medway (Medway/Tonbridge &amp; Malling), Kent Medical Campus (Maidstone)</w:t>
            </w:r>
          </w:p>
        </w:tc>
      </w:tr>
    </w:tbl>
    <w:p w:rsidR="00DA6EEB" w:rsidRDefault="00DA6EEB" w:rsidP="00DA6EEB"/>
    <w:p w:rsidR="00931DDC" w:rsidRDefault="00931DDC" w:rsidP="001922F7">
      <w:pPr>
        <w:ind w:left="567" w:hanging="567"/>
      </w:pPr>
    </w:p>
    <w:p w:rsidR="00DA6EEB" w:rsidRPr="00DA6EEB" w:rsidRDefault="00DA6EEB" w:rsidP="001922F7">
      <w:pPr>
        <w:pStyle w:val="ListParagraph"/>
        <w:numPr>
          <w:ilvl w:val="0"/>
          <w:numId w:val="1"/>
        </w:numPr>
        <w:ind w:left="567" w:hanging="567"/>
        <w:rPr>
          <w:b/>
        </w:rPr>
      </w:pPr>
      <w:r w:rsidRPr="00DA6EEB">
        <w:rPr>
          <w:b/>
        </w:rPr>
        <w:t>Purpose of Report</w:t>
      </w:r>
    </w:p>
    <w:p w:rsidR="00931DDC" w:rsidRDefault="00931DDC" w:rsidP="001922F7">
      <w:pPr>
        <w:ind w:left="567" w:hanging="567"/>
        <w:rPr>
          <w:i/>
        </w:rPr>
      </w:pPr>
    </w:p>
    <w:p w:rsidR="00022EBB" w:rsidRDefault="00022EBB" w:rsidP="00022EBB">
      <w:pPr>
        <w:pStyle w:val="ListParagraph"/>
        <w:numPr>
          <w:ilvl w:val="1"/>
          <w:numId w:val="5"/>
        </w:numPr>
        <w:overflowPunct w:val="0"/>
        <w:autoSpaceDE w:val="0"/>
        <w:autoSpaceDN w:val="0"/>
        <w:adjustRightInd w:val="0"/>
        <w:ind w:left="709" w:hanging="709"/>
        <w:textAlignment w:val="baseline"/>
      </w:pPr>
      <w:r w:rsidRPr="0070380B">
        <w:t xml:space="preserve">The purpose of this report is </w:t>
      </w:r>
      <w:r>
        <w:t>to set out the recommendations and supporting documentation of the Sector Support Funding Bid</w:t>
      </w:r>
      <w:r w:rsidRPr="0070380B">
        <w:t xml:space="preserve"> which ha</w:t>
      </w:r>
      <w:r>
        <w:t>s</w:t>
      </w:r>
      <w:r w:rsidRPr="0070380B">
        <w:t xml:space="preserve"> been through </w:t>
      </w:r>
      <w:r>
        <w:t>an</w:t>
      </w:r>
      <w:r w:rsidRPr="0070380B">
        <w:t xml:space="preserve"> Independent Technical </w:t>
      </w:r>
      <w:r>
        <w:t>Review</w:t>
      </w:r>
      <w:r w:rsidR="00B02FA6">
        <w:t xml:space="preserve"> (ITR)</w:t>
      </w:r>
      <w:r>
        <w:t xml:space="preserve"> process</w:t>
      </w:r>
      <w:r w:rsidRPr="0070380B">
        <w:t>, to enable £</w:t>
      </w:r>
      <w:r w:rsidR="00E54ADF">
        <w:t>161,000</w:t>
      </w:r>
      <w:r>
        <w:t xml:space="preserve"> of Gro</w:t>
      </w:r>
      <w:r w:rsidR="000A0DAC">
        <w:t>wing Places Fund (GPF) Revenue grant</w:t>
      </w:r>
      <w:r w:rsidRPr="0070380B">
        <w:t xml:space="preserve"> to be devolved to </w:t>
      </w:r>
      <w:r w:rsidR="00E54ADF">
        <w:t>Medway</w:t>
      </w:r>
      <w:r w:rsidRPr="0070380B">
        <w:t xml:space="preserve"> Council for Project delivery.</w:t>
      </w:r>
      <w:r w:rsidR="00B02FA6">
        <w:t xml:space="preserve"> The bid document is included in Appendix 1.</w:t>
      </w:r>
      <w:r>
        <w:br/>
      </w:r>
    </w:p>
    <w:p w:rsidR="00DA6EEB" w:rsidRPr="00022EBB" w:rsidRDefault="00B02FA6" w:rsidP="00022EBB">
      <w:pPr>
        <w:pStyle w:val="ListParagraph"/>
        <w:numPr>
          <w:ilvl w:val="1"/>
          <w:numId w:val="5"/>
        </w:numPr>
        <w:overflowPunct w:val="0"/>
        <w:autoSpaceDE w:val="0"/>
        <w:autoSpaceDN w:val="0"/>
        <w:adjustRightInd w:val="0"/>
        <w:ind w:left="709" w:hanging="709"/>
        <w:textAlignment w:val="baseline"/>
      </w:pPr>
      <w:r>
        <w:t>The ITR</w:t>
      </w:r>
      <w:r w:rsidR="00022EBB" w:rsidRPr="0070380B">
        <w:t xml:space="preserve"> report sets out </w:t>
      </w:r>
      <w:r>
        <w:t>an</w:t>
      </w:r>
      <w:r w:rsidR="00022EBB" w:rsidRPr="0070380B">
        <w:t xml:space="preserve"> analysis </w:t>
      </w:r>
      <w:r w:rsidR="00281C15">
        <w:t>to demonstrate that</w:t>
      </w:r>
      <w:r>
        <w:t xml:space="preserve"> </w:t>
      </w:r>
      <w:r w:rsidR="00022EBB" w:rsidRPr="0070380B">
        <w:t>the Project</w:t>
      </w:r>
      <w:r>
        <w:t xml:space="preserve"> meets the criteria for funding</w:t>
      </w:r>
      <w:r w:rsidR="00022EBB" w:rsidRPr="0070380B">
        <w:t xml:space="preserve">. This </w:t>
      </w:r>
      <w:r>
        <w:t>report is included in Appendix 2</w:t>
      </w:r>
      <w:r w:rsidR="00022EBB" w:rsidRPr="0070380B">
        <w:t>.</w:t>
      </w:r>
    </w:p>
    <w:p w:rsidR="00DA6EEB" w:rsidRDefault="00DA6EEB" w:rsidP="001922F7">
      <w:pPr>
        <w:pStyle w:val="ListParagraph"/>
        <w:ind w:left="567" w:hanging="567"/>
      </w:pPr>
    </w:p>
    <w:p w:rsidR="00DA6EEB" w:rsidRPr="00DA6EEB" w:rsidRDefault="00DA6EEB" w:rsidP="001922F7">
      <w:pPr>
        <w:pStyle w:val="ListParagraph"/>
        <w:numPr>
          <w:ilvl w:val="0"/>
          <w:numId w:val="1"/>
        </w:numPr>
        <w:ind w:left="567" w:hanging="567"/>
        <w:rPr>
          <w:b/>
        </w:rPr>
      </w:pPr>
      <w:r w:rsidRPr="00DA6EEB">
        <w:rPr>
          <w:b/>
        </w:rPr>
        <w:t>Recommendations</w:t>
      </w:r>
    </w:p>
    <w:p w:rsidR="00931DDC" w:rsidRDefault="00931DDC" w:rsidP="001922F7">
      <w:pPr>
        <w:ind w:left="567" w:hanging="567"/>
        <w:rPr>
          <w:i/>
        </w:rPr>
      </w:pPr>
    </w:p>
    <w:p w:rsidR="00DA6EEB" w:rsidRPr="00412727" w:rsidRDefault="008D3870" w:rsidP="00B02FA6">
      <w:pPr>
        <w:ind w:left="567" w:hanging="567"/>
        <w:rPr>
          <w:i/>
        </w:rPr>
      </w:pPr>
      <w:r>
        <w:t>2.1</w:t>
      </w:r>
      <w:r>
        <w:tab/>
      </w:r>
      <w:r w:rsidR="00B02FA6" w:rsidRPr="00B02FA6">
        <w:rPr>
          <w:b/>
        </w:rPr>
        <w:t>To App</w:t>
      </w:r>
      <w:r w:rsidR="00B02FA6" w:rsidRPr="0070380B">
        <w:rPr>
          <w:b/>
        </w:rPr>
        <w:t xml:space="preserve">rove </w:t>
      </w:r>
      <w:r w:rsidR="00B02FA6" w:rsidRPr="0070380B">
        <w:t xml:space="preserve">the award of </w:t>
      </w:r>
      <w:r w:rsidR="00E54ADF" w:rsidRPr="0070380B">
        <w:t>£</w:t>
      </w:r>
      <w:r w:rsidR="00E54ADF">
        <w:t>161,000</w:t>
      </w:r>
      <w:r w:rsidR="00ED0CB0">
        <w:t xml:space="preserve"> of</w:t>
      </w:r>
      <w:r w:rsidR="00B02FA6" w:rsidRPr="0070380B">
        <w:t xml:space="preserve"> </w:t>
      </w:r>
      <w:r w:rsidR="000A0DAC">
        <w:t>Growing Places Fund (GPF) Revenue grant</w:t>
      </w:r>
      <w:r w:rsidR="00ED0CB0">
        <w:t xml:space="preserve"> </w:t>
      </w:r>
      <w:r w:rsidR="00B02FA6" w:rsidRPr="0070380B">
        <w:t>to</w:t>
      </w:r>
      <w:r w:rsidR="00E54ADF">
        <w:t xml:space="preserve"> Medway Council</w:t>
      </w:r>
      <w:r w:rsidR="00B02FA6" w:rsidRPr="0070380B">
        <w:t xml:space="preserve"> </w:t>
      </w:r>
      <w:r w:rsidR="00E54ADF">
        <w:t xml:space="preserve">to </w:t>
      </w:r>
      <w:r w:rsidR="00B02FA6" w:rsidRPr="0070380B">
        <w:t xml:space="preserve">support the delivery of the Project identified in the </w:t>
      </w:r>
      <w:r w:rsidR="00ED0CB0">
        <w:t>Funding Bid</w:t>
      </w:r>
      <w:r w:rsidR="00B02FA6" w:rsidRPr="0070380B">
        <w:t xml:space="preserve"> and which has been assessed as </w:t>
      </w:r>
      <w:r w:rsidR="00ED0CB0">
        <w:t>meeting the criteria for funding.</w:t>
      </w:r>
      <w:r w:rsidR="00990558">
        <w:t xml:space="preserve"> </w:t>
      </w:r>
    </w:p>
    <w:p w:rsidR="006121B1" w:rsidRDefault="006121B1" w:rsidP="001922F7">
      <w:pPr>
        <w:pStyle w:val="ListParagraph"/>
        <w:ind w:left="567" w:hanging="567"/>
        <w:rPr>
          <w:b/>
        </w:rPr>
      </w:pPr>
    </w:p>
    <w:p w:rsidR="00D26629" w:rsidRDefault="00DA6EEB" w:rsidP="00D26629">
      <w:pPr>
        <w:pStyle w:val="ListParagraph"/>
        <w:numPr>
          <w:ilvl w:val="0"/>
          <w:numId w:val="1"/>
        </w:numPr>
        <w:ind w:left="567" w:hanging="567"/>
        <w:rPr>
          <w:b/>
        </w:rPr>
      </w:pPr>
      <w:r w:rsidRPr="00DA6EEB">
        <w:rPr>
          <w:b/>
        </w:rPr>
        <w:t>Summary of issue</w:t>
      </w:r>
      <w:r w:rsidR="00D26629">
        <w:rPr>
          <w:b/>
        </w:rPr>
        <w:br/>
      </w:r>
    </w:p>
    <w:p w:rsidR="00D26629" w:rsidRPr="00D26629" w:rsidRDefault="00D26629" w:rsidP="00D26629">
      <w:pPr>
        <w:pStyle w:val="ListParagraph"/>
        <w:numPr>
          <w:ilvl w:val="1"/>
          <w:numId w:val="1"/>
        </w:numPr>
        <w:ind w:left="567" w:hanging="567"/>
        <w:rPr>
          <w:b/>
        </w:rPr>
      </w:pPr>
      <w:r w:rsidRPr="00D26629">
        <w:t>On 9</w:t>
      </w:r>
      <w:r w:rsidRPr="00D26629">
        <w:rPr>
          <w:vertAlign w:val="superscript"/>
        </w:rPr>
        <w:t>th</w:t>
      </w:r>
      <w:r w:rsidRPr="00D26629">
        <w:t xml:space="preserve"> June 2017 the SELEP </w:t>
      </w:r>
      <w:r>
        <w:t xml:space="preserve">Strategic </w:t>
      </w:r>
      <w:r w:rsidRPr="00D26629">
        <w:t xml:space="preserve">Board approved the use of the Growing Places Fund (GPF) Revenue grant to fund a programme of works to support the sector focussed activities that are being undertaken on a pan-LEP basis and predominantly </w:t>
      </w:r>
      <w:r w:rsidR="00281C15">
        <w:t>led by the SELEP working groups, namely, the Sector Support Fund (SSF).</w:t>
      </w:r>
      <w:r w:rsidRPr="00D26629">
        <w:t xml:space="preserve"> </w:t>
      </w:r>
      <w:r w:rsidRPr="00D26629">
        <w:br/>
      </w:r>
    </w:p>
    <w:p w:rsidR="0014637F" w:rsidRPr="00D26629" w:rsidRDefault="00D26629" w:rsidP="00D26629">
      <w:pPr>
        <w:pStyle w:val="ListParagraph"/>
        <w:numPr>
          <w:ilvl w:val="1"/>
          <w:numId w:val="1"/>
        </w:numPr>
        <w:ind w:left="567" w:hanging="567"/>
        <w:rPr>
          <w:b/>
        </w:rPr>
      </w:pPr>
      <w:r w:rsidRPr="00D26629">
        <w:t xml:space="preserve">The Board agreed the programme of total funding available in each year would be </w:t>
      </w:r>
      <w:r w:rsidR="00E54ADF">
        <w:t>up to £500,000 of revenue grants</w:t>
      </w:r>
      <w:r w:rsidRPr="00D26629">
        <w:t xml:space="preserve"> per annum for three financial years, beginning 2017/18.</w:t>
      </w:r>
      <w:r>
        <w:br/>
      </w:r>
    </w:p>
    <w:p w:rsidR="00D26629" w:rsidRPr="00E54ADF" w:rsidRDefault="00D26629" w:rsidP="00D26629">
      <w:pPr>
        <w:pStyle w:val="ListParagraph"/>
        <w:numPr>
          <w:ilvl w:val="1"/>
          <w:numId w:val="1"/>
        </w:numPr>
        <w:ind w:left="567" w:hanging="567"/>
        <w:rPr>
          <w:b/>
        </w:rPr>
      </w:pPr>
      <w:r w:rsidRPr="00D26629">
        <w:t xml:space="preserve">The purpose of the SSF is therefore to support one-off, discrete pieces of work of a pan-LEP nature with a sector focus that brings demonstrable benefits and has support across the LEP. All applications must meet the criteria detailed in section 3 </w:t>
      </w:r>
      <w:r w:rsidR="006E6315">
        <w:t xml:space="preserve">of the Sector Support Funding Guidance </w:t>
      </w:r>
      <w:r w:rsidRPr="00D26629">
        <w:t>and be submitted in line with the process in section 4</w:t>
      </w:r>
      <w:r w:rsidR="006E6315">
        <w:t xml:space="preserve"> of the same</w:t>
      </w:r>
      <w:r w:rsidRPr="00D26629">
        <w:t>.</w:t>
      </w:r>
      <w:r w:rsidR="00644BD9">
        <w:t xml:space="preserve"> This process ensures that the funding is allocated in accordance with the requirements of the SELEP Assurance </w:t>
      </w:r>
      <w:r w:rsidR="00644BD9">
        <w:lastRenderedPageBreak/>
        <w:t>Framework.</w:t>
      </w:r>
      <w:r w:rsidR="00E54ADF">
        <w:br/>
      </w:r>
    </w:p>
    <w:p w:rsidR="00E54ADF" w:rsidRDefault="00A9454E" w:rsidP="00D26629">
      <w:pPr>
        <w:pStyle w:val="ListParagraph"/>
        <w:numPr>
          <w:ilvl w:val="1"/>
          <w:numId w:val="1"/>
        </w:numPr>
        <w:ind w:left="567" w:hanging="567"/>
      </w:pPr>
      <w:r>
        <w:t xml:space="preserve">The Thames Gateway Kent Partnership, in conjunction with </w:t>
      </w:r>
      <w:r w:rsidR="00E54ADF" w:rsidRPr="00E54ADF">
        <w:t>Maidstone</w:t>
      </w:r>
      <w:r w:rsidR="008D67D8">
        <w:t xml:space="preserve"> Borough</w:t>
      </w:r>
      <w:r w:rsidR="00E54ADF" w:rsidRPr="00E54ADF">
        <w:t xml:space="preserve"> Council, as the Accountable Body for the North Kent Enterprise Zone, </w:t>
      </w:r>
      <w:r>
        <w:t>and</w:t>
      </w:r>
      <w:r w:rsidR="00E54ADF" w:rsidRPr="00E54ADF">
        <w:t xml:space="preserve"> Medway Council, have submitted a bid for SSF</w:t>
      </w:r>
      <w:r>
        <w:t xml:space="preserve"> of £161,000 to support </w:t>
      </w:r>
      <w:r w:rsidR="002B5E94">
        <w:t>the delivery of the North Kent Enterprise Zone.</w:t>
      </w:r>
      <w:r w:rsidR="002B5E94">
        <w:br/>
      </w:r>
    </w:p>
    <w:p w:rsidR="002B5E94" w:rsidRPr="00E54ADF" w:rsidRDefault="002B5E94" w:rsidP="00D26629">
      <w:pPr>
        <w:pStyle w:val="ListParagraph"/>
        <w:numPr>
          <w:ilvl w:val="1"/>
          <w:numId w:val="1"/>
        </w:numPr>
        <w:ind w:left="567" w:hanging="567"/>
      </w:pPr>
      <w:r>
        <w:t>The SELEP Strategic Board endorsed the bid for funding on the 9th June 2017</w:t>
      </w:r>
      <w:r w:rsidR="00A8454D">
        <w:t xml:space="preserve"> </w:t>
      </w:r>
      <w:r w:rsidR="00A8454D" w:rsidRPr="00A8454D">
        <w:t>subject to compliance with the assurance framework and demonstration of value for money</w:t>
      </w:r>
      <w:r>
        <w:t>.</w:t>
      </w:r>
    </w:p>
    <w:p w:rsidR="007D5E7C" w:rsidRDefault="007D5E7C" w:rsidP="007D5E7C">
      <w:pPr>
        <w:pStyle w:val="ListParagraph"/>
        <w:tabs>
          <w:tab w:val="left" w:pos="915"/>
        </w:tabs>
        <w:ind w:left="567" w:hanging="567"/>
      </w:pPr>
    </w:p>
    <w:p w:rsidR="00A8454D" w:rsidRDefault="00A8454D" w:rsidP="00A8454D">
      <w:pPr>
        <w:pStyle w:val="ListParagraph"/>
        <w:numPr>
          <w:ilvl w:val="0"/>
          <w:numId w:val="1"/>
        </w:numPr>
        <w:ind w:left="567" w:hanging="567"/>
        <w:rPr>
          <w:b/>
        </w:rPr>
      </w:pPr>
      <w:r>
        <w:rPr>
          <w:b/>
        </w:rPr>
        <w:t>Project Summary</w:t>
      </w:r>
      <w:r>
        <w:rPr>
          <w:b/>
        </w:rPr>
        <w:br/>
      </w:r>
    </w:p>
    <w:p w:rsidR="00A8454D" w:rsidRPr="00126C9E" w:rsidRDefault="002C3F97" w:rsidP="00A8454D">
      <w:pPr>
        <w:pStyle w:val="ListParagraph"/>
        <w:numPr>
          <w:ilvl w:val="1"/>
          <w:numId w:val="1"/>
        </w:numPr>
        <w:ind w:left="567" w:hanging="567"/>
        <w:rPr>
          <w:b/>
        </w:rPr>
      </w:pPr>
      <w:r w:rsidRPr="00126C9E">
        <w:t xml:space="preserve">The North Kent Enterprise Zone (NKEZ) was designated by Government in Autumn 2015 and came into operation on 1 April 2017. It is one of four Enterprise Zones in which SELEP has an interest. As a nationally designated Enterprise Zone, NKEZ is a priority initiative for SELEP. Whilst it operates within a specific sub-regional geography, its impact will potentially benefit SELEP as a whole as a catalyst for enterprise and growth in the Thames Gateway/Estuary area. The detailed timetable for the </w:t>
      </w:r>
      <w:r w:rsidR="00A6536D" w:rsidRPr="00A8454D">
        <w:t>Local Development Orders (LDOs)</w:t>
      </w:r>
      <w:r w:rsidRPr="00126C9E">
        <w:t xml:space="preserve"> will be subject to the preparation of the evidence base, being undertaken at the initial stage of the master</w:t>
      </w:r>
      <w:r w:rsidR="00126C9E">
        <w:t xml:space="preserve"> </w:t>
      </w:r>
      <w:r w:rsidRPr="00126C9E">
        <w:t>planning process.</w:t>
      </w:r>
      <w:r w:rsidR="00A8454D" w:rsidRPr="00126C9E">
        <w:br/>
      </w:r>
    </w:p>
    <w:p w:rsidR="00A8454D" w:rsidRPr="00A8454D" w:rsidRDefault="00A6536D" w:rsidP="00A8454D">
      <w:pPr>
        <w:pStyle w:val="ListParagraph"/>
        <w:numPr>
          <w:ilvl w:val="1"/>
          <w:numId w:val="1"/>
        </w:numPr>
        <w:ind w:left="567" w:hanging="567"/>
        <w:rPr>
          <w:b/>
        </w:rPr>
      </w:pPr>
      <w:r>
        <w:t>T</w:t>
      </w:r>
      <w:r w:rsidR="00A8454D" w:rsidRPr="00A8454D">
        <w:t>he</w:t>
      </w:r>
      <w:r w:rsidR="00A8454D">
        <w:t xml:space="preserve"> bid request was endorsed by the Strategic Board in June 2017, the</w:t>
      </w:r>
      <w:r w:rsidR="00A8454D" w:rsidRPr="00A8454D">
        <w:t xml:space="preserve"> funding package covered three items, </w:t>
      </w:r>
      <w:r w:rsidR="00A8454D">
        <w:t xml:space="preserve">which has </w:t>
      </w:r>
      <w:r w:rsidR="00A8454D" w:rsidRPr="00A8454D">
        <w:t>now reduced to two:</w:t>
      </w:r>
      <w:r w:rsidR="00A8454D">
        <w:br/>
      </w:r>
    </w:p>
    <w:p w:rsidR="00A8454D" w:rsidRPr="00A8454D" w:rsidRDefault="00A8454D" w:rsidP="00EA2A88">
      <w:pPr>
        <w:pStyle w:val="ListParagraph"/>
        <w:numPr>
          <w:ilvl w:val="0"/>
          <w:numId w:val="11"/>
        </w:numPr>
        <w:spacing w:after="120"/>
      </w:pPr>
      <w:r w:rsidRPr="00A8454D">
        <w:t>Preparation of Local Development Orders (LDOs) and Masterplan for Innovation Park Medway (IPM);</w:t>
      </w:r>
    </w:p>
    <w:p w:rsidR="00A8454D" w:rsidRDefault="00A8454D" w:rsidP="00EA2A88">
      <w:pPr>
        <w:pStyle w:val="ListParagraph"/>
        <w:numPr>
          <w:ilvl w:val="0"/>
          <w:numId w:val="11"/>
        </w:numPr>
        <w:spacing w:after="120"/>
        <w:contextualSpacing w:val="0"/>
      </w:pPr>
      <w:r w:rsidRPr="00A8454D">
        <w:t>Marketing of NKEZ and associated collateral.</w:t>
      </w:r>
      <w:r>
        <w:br/>
      </w:r>
    </w:p>
    <w:p w:rsidR="00A8454D" w:rsidRDefault="00A8454D" w:rsidP="00A8454D">
      <w:pPr>
        <w:pStyle w:val="ListParagraph"/>
        <w:numPr>
          <w:ilvl w:val="1"/>
          <w:numId w:val="1"/>
        </w:numPr>
        <w:spacing w:after="120"/>
        <w:ind w:left="567" w:hanging="567"/>
        <w:contextualSpacing w:val="0"/>
      </w:pPr>
      <w:r w:rsidRPr="00A8454D">
        <w:t>A third component, a proposed evaluation, is not being progressed and the funding approved in principle is sought to be</w:t>
      </w:r>
      <w:r>
        <w:t xml:space="preserve"> applied instead to element (i).</w:t>
      </w:r>
    </w:p>
    <w:p w:rsidR="00A8454D" w:rsidRPr="00A8454D" w:rsidRDefault="00A8454D" w:rsidP="00A8454D">
      <w:pPr>
        <w:pStyle w:val="ListParagraph"/>
        <w:numPr>
          <w:ilvl w:val="1"/>
          <w:numId w:val="1"/>
        </w:numPr>
        <w:spacing w:after="120"/>
        <w:ind w:left="567" w:hanging="567"/>
        <w:contextualSpacing w:val="0"/>
      </w:pPr>
      <w:r w:rsidRPr="00A8454D">
        <w:t>Medway Council and Tonbridge &amp; Malling Borough Council have agreed that LDOs offer the best way forward for delivering a simplified planning regime for IPM, underpinning a compelling offer to potential occupiers and accelerating the delivery and pace of site development and business occupation.  The funding is to contribute towards development of the LDOs and Masterplan including associated studies and consultation processes.</w:t>
      </w:r>
    </w:p>
    <w:p w:rsidR="00B5194B" w:rsidRPr="00A8454D" w:rsidRDefault="00A8454D" w:rsidP="00A8454D">
      <w:pPr>
        <w:pStyle w:val="ListParagraph"/>
        <w:numPr>
          <w:ilvl w:val="1"/>
          <w:numId w:val="1"/>
        </w:numPr>
        <w:ind w:left="567" w:hanging="567"/>
        <w:rPr>
          <w:i/>
        </w:rPr>
      </w:pPr>
      <w:r w:rsidRPr="00A8454D">
        <w:t>The NKEZ Strategic Board has adopted a marketing strategy taking a phased approach to awareness-raising, targeted advertising, promotional collateral, social media and direct marketing.  This is being led by Locate in Kent on behalf of NKEZ.   This element of funding is to enable added-value activity to enhance the marketing impact for NKEZ.</w:t>
      </w:r>
      <w:r w:rsidR="00B5194B" w:rsidRPr="00A8454D">
        <w:rPr>
          <w:i/>
        </w:rPr>
        <w:br/>
      </w:r>
    </w:p>
    <w:p w:rsidR="00B5194B" w:rsidRDefault="00B5194B" w:rsidP="006E6315">
      <w:pPr>
        <w:pStyle w:val="ListParagraph"/>
        <w:numPr>
          <w:ilvl w:val="0"/>
          <w:numId w:val="1"/>
        </w:numPr>
        <w:ind w:left="567" w:hanging="567"/>
        <w:rPr>
          <w:b/>
        </w:rPr>
      </w:pPr>
      <w:r>
        <w:rPr>
          <w:b/>
        </w:rPr>
        <w:t>Project Funding</w:t>
      </w:r>
      <w:r>
        <w:rPr>
          <w:b/>
        </w:rPr>
        <w:br/>
      </w:r>
    </w:p>
    <w:p w:rsidR="00636D1E" w:rsidRPr="00E207E6" w:rsidRDefault="00B5194B" w:rsidP="00126C9E">
      <w:pPr>
        <w:pStyle w:val="ListParagraph"/>
        <w:numPr>
          <w:ilvl w:val="1"/>
          <w:numId w:val="1"/>
        </w:numPr>
        <w:ind w:left="567" w:hanging="567"/>
        <w:rPr>
          <w:b/>
        </w:rPr>
      </w:pPr>
      <w:r w:rsidRPr="00113CC7">
        <w:rPr>
          <w:rFonts w:eastAsia="Times New Roman"/>
          <w:lang w:eastAsia="en-GB"/>
        </w:rPr>
        <w:t xml:space="preserve">The </w:t>
      </w:r>
      <w:r>
        <w:rPr>
          <w:rFonts w:eastAsia="Times New Roman"/>
          <w:lang w:eastAsia="en-GB"/>
        </w:rPr>
        <w:t xml:space="preserve">total </w:t>
      </w:r>
      <w:r w:rsidRPr="00113CC7">
        <w:rPr>
          <w:rFonts w:eastAsia="Times New Roman"/>
          <w:lang w:eastAsia="en-GB"/>
        </w:rPr>
        <w:t>cost of the Project is estimated at £</w:t>
      </w:r>
      <w:r w:rsidR="00BD71EF">
        <w:rPr>
          <w:rFonts w:eastAsia="Times New Roman"/>
          <w:lang w:eastAsia="en-GB"/>
        </w:rPr>
        <w:t>271,000</w:t>
      </w:r>
      <w:r>
        <w:rPr>
          <w:rFonts w:eastAsia="Times New Roman"/>
          <w:lang w:eastAsia="en-GB"/>
        </w:rPr>
        <w:t>, as set out in Table 1 below.</w:t>
      </w:r>
      <w:r>
        <w:rPr>
          <w:rFonts w:eastAsia="Times New Roman"/>
          <w:lang w:eastAsia="en-GB"/>
        </w:rPr>
        <w:br/>
      </w:r>
      <w:r>
        <w:rPr>
          <w:rFonts w:eastAsia="Times New Roman"/>
          <w:lang w:eastAsia="en-GB"/>
        </w:rPr>
        <w:br/>
      </w:r>
      <w:r>
        <w:rPr>
          <w:b/>
        </w:rPr>
        <w:lastRenderedPageBreak/>
        <w:t xml:space="preserve">Table 1: </w:t>
      </w:r>
      <w:r w:rsidR="00161454">
        <w:rPr>
          <w:b/>
        </w:rPr>
        <w:t>Projec</w:t>
      </w:r>
      <w:r w:rsidR="00161454" w:rsidRPr="00161454">
        <w:rPr>
          <w:b/>
        </w:rPr>
        <w:t>t Funding breakdown (£s)</w:t>
      </w:r>
      <w:r>
        <w:rPr>
          <w:b/>
        </w:rPr>
        <w:br/>
      </w:r>
      <w:r w:rsidR="00161454">
        <w:rPr>
          <w:b/>
        </w:rPr>
        <w:br/>
      </w:r>
    </w:p>
    <w:tbl>
      <w:tblPr>
        <w:tblW w:w="10684" w:type="dxa"/>
        <w:tblInd w:w="-8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1873"/>
        <w:gridCol w:w="1884"/>
        <w:gridCol w:w="1921"/>
        <w:gridCol w:w="1886"/>
      </w:tblGrid>
      <w:tr w:rsidR="00636D1E" w:rsidTr="005170BE">
        <w:trPr>
          <w:trHeight w:hRule="exact" w:val="274"/>
        </w:trPr>
        <w:tc>
          <w:tcPr>
            <w:tcW w:w="3120" w:type="dxa"/>
            <w:shd w:val="clear" w:color="auto" w:fill="7A7A7A"/>
          </w:tcPr>
          <w:p w:rsidR="00636D1E" w:rsidRDefault="00636D1E" w:rsidP="000933DC">
            <w:pPr>
              <w:pStyle w:val="TableParagraph"/>
              <w:spacing w:line="264" w:lineRule="exact"/>
              <w:rPr>
                <w:rFonts w:ascii="Tahoma"/>
                <w:b/>
              </w:rPr>
            </w:pPr>
            <w:r>
              <w:rPr>
                <w:rFonts w:ascii="Tahoma"/>
                <w:b/>
                <w:color w:val="FFFFFF"/>
              </w:rPr>
              <w:t>Source</w:t>
            </w:r>
          </w:p>
        </w:tc>
        <w:tc>
          <w:tcPr>
            <w:tcW w:w="1873" w:type="dxa"/>
            <w:shd w:val="clear" w:color="auto" w:fill="7A7A7A"/>
          </w:tcPr>
          <w:p w:rsidR="00636D1E" w:rsidRDefault="00636D1E" w:rsidP="000933DC">
            <w:pPr>
              <w:pStyle w:val="TableParagraph"/>
              <w:spacing w:line="264" w:lineRule="exact"/>
              <w:ind w:left="429" w:right="426"/>
              <w:jc w:val="center"/>
              <w:rPr>
                <w:rFonts w:ascii="Tahoma"/>
                <w:b/>
              </w:rPr>
            </w:pPr>
            <w:r>
              <w:rPr>
                <w:rFonts w:ascii="Tahoma"/>
                <w:b/>
                <w:color w:val="FFFFFF"/>
              </w:rPr>
              <w:t>2017/18</w:t>
            </w:r>
          </w:p>
        </w:tc>
        <w:tc>
          <w:tcPr>
            <w:tcW w:w="1884" w:type="dxa"/>
            <w:shd w:val="clear" w:color="auto" w:fill="7A7A7A"/>
          </w:tcPr>
          <w:p w:rsidR="00636D1E" w:rsidRDefault="00636D1E" w:rsidP="000933DC">
            <w:pPr>
              <w:pStyle w:val="TableParagraph"/>
              <w:spacing w:line="264" w:lineRule="exact"/>
              <w:ind w:left="433" w:right="433"/>
              <w:jc w:val="center"/>
              <w:rPr>
                <w:rFonts w:ascii="Tahoma"/>
                <w:b/>
              </w:rPr>
            </w:pPr>
            <w:r>
              <w:rPr>
                <w:rFonts w:ascii="Tahoma"/>
                <w:b/>
                <w:color w:val="FFFFFF"/>
              </w:rPr>
              <w:t>2018/19</w:t>
            </w:r>
          </w:p>
        </w:tc>
        <w:tc>
          <w:tcPr>
            <w:tcW w:w="1921" w:type="dxa"/>
            <w:shd w:val="clear" w:color="auto" w:fill="7A7A7A"/>
          </w:tcPr>
          <w:p w:rsidR="00636D1E" w:rsidRDefault="00636D1E" w:rsidP="000933DC">
            <w:pPr>
              <w:pStyle w:val="TableParagraph"/>
              <w:spacing w:line="264" w:lineRule="exact"/>
              <w:ind w:left="451" w:right="451"/>
              <w:jc w:val="center"/>
              <w:rPr>
                <w:rFonts w:ascii="Tahoma"/>
                <w:b/>
              </w:rPr>
            </w:pPr>
            <w:r>
              <w:rPr>
                <w:rFonts w:ascii="Tahoma"/>
                <w:b/>
                <w:color w:val="FFFFFF"/>
              </w:rPr>
              <w:t>2019/20</w:t>
            </w:r>
          </w:p>
        </w:tc>
        <w:tc>
          <w:tcPr>
            <w:tcW w:w="1886" w:type="dxa"/>
            <w:shd w:val="clear" w:color="auto" w:fill="7A7A7A"/>
          </w:tcPr>
          <w:p w:rsidR="00636D1E" w:rsidRDefault="00636D1E" w:rsidP="000933DC">
            <w:pPr>
              <w:pStyle w:val="TableParagraph"/>
              <w:spacing w:line="264" w:lineRule="exact"/>
              <w:ind w:left="0" w:right="656"/>
              <w:jc w:val="right"/>
              <w:rPr>
                <w:rFonts w:ascii="Tahoma"/>
                <w:b/>
              </w:rPr>
            </w:pPr>
            <w:r>
              <w:rPr>
                <w:rFonts w:ascii="Tahoma"/>
                <w:b/>
                <w:color w:val="FFFFFF"/>
              </w:rPr>
              <w:t>Total</w:t>
            </w:r>
          </w:p>
        </w:tc>
      </w:tr>
      <w:tr w:rsidR="00636D1E" w:rsidTr="005170BE">
        <w:trPr>
          <w:trHeight w:hRule="exact" w:val="281"/>
        </w:trPr>
        <w:tc>
          <w:tcPr>
            <w:tcW w:w="3120" w:type="dxa"/>
          </w:tcPr>
          <w:p w:rsidR="00636D1E" w:rsidRDefault="00636D1E" w:rsidP="000933DC">
            <w:pPr>
              <w:pStyle w:val="TableParagraph"/>
              <w:rPr>
                <w:rFonts w:ascii="Tahoma"/>
              </w:rPr>
            </w:pPr>
            <w:r>
              <w:rPr>
                <w:rFonts w:ascii="Tahoma"/>
              </w:rPr>
              <w:t>SSF</w:t>
            </w:r>
          </w:p>
        </w:tc>
        <w:tc>
          <w:tcPr>
            <w:tcW w:w="1873" w:type="dxa"/>
          </w:tcPr>
          <w:p w:rsidR="00636D1E" w:rsidRDefault="00636D1E" w:rsidP="000933DC">
            <w:pPr>
              <w:pStyle w:val="TableParagraph"/>
              <w:spacing w:line="268" w:lineRule="exact"/>
              <w:ind w:left="429" w:right="425"/>
              <w:jc w:val="center"/>
            </w:pPr>
            <w:r>
              <w:t>5,520</w:t>
            </w:r>
          </w:p>
        </w:tc>
        <w:tc>
          <w:tcPr>
            <w:tcW w:w="1884" w:type="dxa"/>
          </w:tcPr>
          <w:p w:rsidR="00636D1E" w:rsidRDefault="00636D1E" w:rsidP="000933DC">
            <w:pPr>
              <w:pStyle w:val="TableParagraph"/>
              <w:spacing w:line="268" w:lineRule="exact"/>
              <w:ind w:left="432" w:right="433"/>
              <w:jc w:val="center"/>
            </w:pPr>
            <w:r>
              <w:t>155,480</w:t>
            </w:r>
          </w:p>
        </w:tc>
        <w:tc>
          <w:tcPr>
            <w:tcW w:w="1921" w:type="dxa"/>
          </w:tcPr>
          <w:p w:rsidR="00636D1E" w:rsidRDefault="00636D1E" w:rsidP="000933DC">
            <w:pPr>
              <w:pStyle w:val="TableParagraph"/>
              <w:spacing w:line="268" w:lineRule="exact"/>
              <w:ind w:left="0"/>
              <w:jc w:val="center"/>
            </w:pPr>
            <w:r>
              <w:t>-</w:t>
            </w:r>
          </w:p>
        </w:tc>
        <w:tc>
          <w:tcPr>
            <w:tcW w:w="1886" w:type="dxa"/>
          </w:tcPr>
          <w:p w:rsidR="00636D1E" w:rsidRDefault="00636D1E" w:rsidP="000933DC">
            <w:pPr>
              <w:pStyle w:val="TableParagraph"/>
              <w:spacing w:line="268" w:lineRule="exact"/>
              <w:ind w:left="0" w:right="573"/>
              <w:jc w:val="right"/>
            </w:pPr>
            <w:r>
              <w:t>161,000</w:t>
            </w:r>
          </w:p>
        </w:tc>
      </w:tr>
      <w:tr w:rsidR="00636D1E" w:rsidTr="005170BE">
        <w:trPr>
          <w:trHeight w:hRule="exact" w:val="274"/>
        </w:trPr>
        <w:tc>
          <w:tcPr>
            <w:tcW w:w="10684" w:type="dxa"/>
            <w:gridSpan w:val="5"/>
            <w:shd w:val="clear" w:color="auto" w:fill="DDDDDD"/>
          </w:tcPr>
          <w:p w:rsidR="00636D1E" w:rsidRDefault="00636D1E" w:rsidP="000933DC">
            <w:pPr>
              <w:pStyle w:val="TableParagraph"/>
              <w:spacing w:line="266" w:lineRule="exact"/>
              <w:rPr>
                <w:rFonts w:ascii="Tahoma"/>
              </w:rPr>
            </w:pPr>
            <w:r>
              <w:rPr>
                <w:rFonts w:ascii="Tahoma"/>
              </w:rPr>
              <w:t>Other sources of funding (</w:t>
            </w:r>
            <w:r>
              <w:rPr>
                <w:rFonts w:ascii="Tahoma"/>
                <w:i/>
                <w:sz w:val="23"/>
              </w:rPr>
              <w:t>please list below, add additional rows if necessary</w:t>
            </w:r>
            <w:r>
              <w:rPr>
                <w:rFonts w:ascii="Tahoma"/>
              </w:rPr>
              <w:t>)</w:t>
            </w:r>
          </w:p>
        </w:tc>
      </w:tr>
      <w:tr w:rsidR="00636D1E" w:rsidTr="005170BE">
        <w:trPr>
          <w:trHeight w:hRule="exact" w:val="278"/>
        </w:trPr>
        <w:tc>
          <w:tcPr>
            <w:tcW w:w="3120" w:type="dxa"/>
          </w:tcPr>
          <w:p w:rsidR="00636D1E" w:rsidRDefault="00636D1E" w:rsidP="000933DC">
            <w:pPr>
              <w:pStyle w:val="TableParagraph"/>
              <w:spacing w:line="268" w:lineRule="exact"/>
            </w:pPr>
            <w:r>
              <w:t>Locate in Kent</w:t>
            </w:r>
          </w:p>
        </w:tc>
        <w:tc>
          <w:tcPr>
            <w:tcW w:w="1873" w:type="dxa"/>
          </w:tcPr>
          <w:p w:rsidR="00636D1E" w:rsidRDefault="00636D1E" w:rsidP="000933DC">
            <w:pPr>
              <w:pStyle w:val="TableParagraph"/>
              <w:spacing w:line="268" w:lineRule="exact"/>
              <w:ind w:left="429" w:right="426"/>
              <w:jc w:val="center"/>
            </w:pPr>
            <w:r>
              <w:t>16,900</w:t>
            </w:r>
          </w:p>
        </w:tc>
        <w:tc>
          <w:tcPr>
            <w:tcW w:w="1884" w:type="dxa"/>
          </w:tcPr>
          <w:p w:rsidR="00636D1E" w:rsidRDefault="00636D1E" w:rsidP="000933DC">
            <w:pPr>
              <w:pStyle w:val="TableParagraph"/>
              <w:spacing w:line="268" w:lineRule="exact"/>
              <w:ind w:left="433" w:right="433"/>
              <w:jc w:val="center"/>
            </w:pPr>
            <w:r>
              <w:t>10,000</w:t>
            </w:r>
          </w:p>
        </w:tc>
        <w:tc>
          <w:tcPr>
            <w:tcW w:w="1921" w:type="dxa"/>
          </w:tcPr>
          <w:p w:rsidR="00636D1E" w:rsidRDefault="00636D1E" w:rsidP="000933DC">
            <w:pPr>
              <w:pStyle w:val="TableParagraph"/>
              <w:spacing w:line="268" w:lineRule="exact"/>
              <w:ind w:left="0"/>
              <w:jc w:val="center"/>
            </w:pPr>
            <w:r>
              <w:t>-</w:t>
            </w:r>
          </w:p>
        </w:tc>
        <w:tc>
          <w:tcPr>
            <w:tcW w:w="1886" w:type="dxa"/>
          </w:tcPr>
          <w:p w:rsidR="00636D1E" w:rsidRDefault="00636D1E" w:rsidP="000933DC">
            <w:pPr>
              <w:pStyle w:val="TableParagraph"/>
              <w:spacing w:line="268" w:lineRule="exact"/>
              <w:ind w:left="0" w:right="631"/>
              <w:jc w:val="right"/>
            </w:pPr>
            <w:r>
              <w:t>26,900</w:t>
            </w:r>
          </w:p>
        </w:tc>
      </w:tr>
      <w:tr w:rsidR="00636D1E" w:rsidTr="005170BE">
        <w:trPr>
          <w:trHeight w:hRule="exact" w:val="278"/>
        </w:trPr>
        <w:tc>
          <w:tcPr>
            <w:tcW w:w="3120" w:type="dxa"/>
          </w:tcPr>
          <w:p w:rsidR="00636D1E" w:rsidRDefault="00636D1E" w:rsidP="000933DC">
            <w:pPr>
              <w:pStyle w:val="TableParagraph"/>
              <w:spacing w:line="268" w:lineRule="exact"/>
            </w:pPr>
            <w:r>
              <w:t>Medway Council</w:t>
            </w:r>
          </w:p>
        </w:tc>
        <w:tc>
          <w:tcPr>
            <w:tcW w:w="1873" w:type="dxa"/>
          </w:tcPr>
          <w:p w:rsidR="00636D1E" w:rsidRDefault="00636D1E" w:rsidP="000933DC">
            <w:pPr>
              <w:pStyle w:val="TableParagraph"/>
              <w:spacing w:line="268" w:lineRule="exact"/>
              <w:ind w:left="0"/>
              <w:jc w:val="center"/>
            </w:pPr>
            <w:r>
              <w:t>-</w:t>
            </w:r>
          </w:p>
        </w:tc>
        <w:tc>
          <w:tcPr>
            <w:tcW w:w="1884" w:type="dxa"/>
            <w:vMerge w:val="restart"/>
          </w:tcPr>
          <w:p w:rsidR="00636D1E" w:rsidRDefault="00636D1E" w:rsidP="000933DC">
            <w:pPr>
              <w:pStyle w:val="TableParagraph"/>
              <w:spacing w:before="138"/>
              <w:ind w:left="575"/>
            </w:pPr>
            <w:r>
              <w:t>*59,169</w:t>
            </w:r>
          </w:p>
        </w:tc>
        <w:tc>
          <w:tcPr>
            <w:tcW w:w="1921" w:type="dxa"/>
            <w:vMerge w:val="restart"/>
          </w:tcPr>
          <w:p w:rsidR="00636D1E" w:rsidRDefault="00636D1E" w:rsidP="000933DC">
            <w:pPr>
              <w:pStyle w:val="TableParagraph"/>
              <w:spacing w:before="138"/>
              <w:ind w:left="537"/>
            </w:pPr>
            <w:r>
              <w:t>**23,141</w:t>
            </w:r>
          </w:p>
        </w:tc>
        <w:tc>
          <w:tcPr>
            <w:tcW w:w="1886" w:type="dxa"/>
            <w:vMerge w:val="restart"/>
          </w:tcPr>
          <w:p w:rsidR="00636D1E" w:rsidRDefault="00636D1E" w:rsidP="000933DC">
            <w:pPr>
              <w:pStyle w:val="TableParagraph"/>
              <w:spacing w:before="138"/>
              <w:ind w:left="576"/>
            </w:pPr>
            <w:r>
              <w:t>90,410*</w:t>
            </w:r>
          </w:p>
        </w:tc>
      </w:tr>
      <w:tr w:rsidR="00636D1E" w:rsidTr="005170BE">
        <w:trPr>
          <w:trHeight w:hRule="exact" w:val="281"/>
        </w:trPr>
        <w:tc>
          <w:tcPr>
            <w:tcW w:w="3120" w:type="dxa"/>
          </w:tcPr>
          <w:p w:rsidR="00636D1E" w:rsidRDefault="00636D1E" w:rsidP="000933DC">
            <w:pPr>
              <w:pStyle w:val="TableParagraph"/>
              <w:spacing w:line="268" w:lineRule="exact"/>
            </w:pPr>
            <w:r>
              <w:t>Tonbridge &amp; Malling BC</w:t>
            </w:r>
          </w:p>
        </w:tc>
        <w:tc>
          <w:tcPr>
            <w:tcW w:w="1873" w:type="dxa"/>
          </w:tcPr>
          <w:p w:rsidR="00636D1E" w:rsidRDefault="00636D1E" w:rsidP="000933DC">
            <w:pPr>
              <w:pStyle w:val="TableParagraph"/>
              <w:spacing w:line="268" w:lineRule="exact"/>
              <w:ind w:left="429" w:right="425"/>
              <w:jc w:val="center"/>
            </w:pPr>
            <w:r>
              <w:t>8,100</w:t>
            </w:r>
          </w:p>
        </w:tc>
        <w:tc>
          <w:tcPr>
            <w:tcW w:w="1884" w:type="dxa"/>
            <w:vMerge/>
          </w:tcPr>
          <w:p w:rsidR="00636D1E" w:rsidRDefault="00636D1E" w:rsidP="000933DC"/>
        </w:tc>
        <w:tc>
          <w:tcPr>
            <w:tcW w:w="1921" w:type="dxa"/>
            <w:vMerge/>
          </w:tcPr>
          <w:p w:rsidR="00636D1E" w:rsidRDefault="00636D1E" w:rsidP="000933DC"/>
        </w:tc>
        <w:tc>
          <w:tcPr>
            <w:tcW w:w="1886" w:type="dxa"/>
            <w:vMerge/>
          </w:tcPr>
          <w:p w:rsidR="00636D1E" w:rsidRDefault="00636D1E" w:rsidP="000933DC"/>
        </w:tc>
      </w:tr>
      <w:tr w:rsidR="00636D1E" w:rsidTr="005170BE">
        <w:trPr>
          <w:trHeight w:hRule="exact" w:val="278"/>
        </w:trPr>
        <w:tc>
          <w:tcPr>
            <w:tcW w:w="3120" w:type="dxa"/>
          </w:tcPr>
          <w:p w:rsidR="00636D1E" w:rsidRDefault="00636D1E" w:rsidP="000933DC">
            <w:pPr>
              <w:pStyle w:val="TableParagraph"/>
              <w:spacing w:line="265" w:lineRule="exact"/>
              <w:rPr>
                <w:b/>
              </w:rPr>
            </w:pPr>
            <w:r>
              <w:rPr>
                <w:b/>
              </w:rPr>
              <w:t>Total</w:t>
            </w:r>
          </w:p>
        </w:tc>
        <w:tc>
          <w:tcPr>
            <w:tcW w:w="1873" w:type="dxa"/>
          </w:tcPr>
          <w:p w:rsidR="00636D1E" w:rsidRDefault="00636D1E" w:rsidP="000933DC">
            <w:pPr>
              <w:pStyle w:val="TableParagraph"/>
              <w:spacing w:line="265" w:lineRule="exact"/>
              <w:ind w:left="427" w:right="426"/>
              <w:jc w:val="center"/>
              <w:rPr>
                <w:b/>
              </w:rPr>
            </w:pPr>
            <w:r>
              <w:rPr>
                <w:b/>
              </w:rPr>
              <w:t>30,520</w:t>
            </w:r>
          </w:p>
        </w:tc>
        <w:tc>
          <w:tcPr>
            <w:tcW w:w="1884" w:type="dxa"/>
          </w:tcPr>
          <w:p w:rsidR="00636D1E" w:rsidRDefault="00636D1E" w:rsidP="000933DC">
            <w:pPr>
              <w:pStyle w:val="TableParagraph"/>
              <w:spacing w:line="265" w:lineRule="exact"/>
              <w:ind w:left="432" w:right="433"/>
              <w:jc w:val="center"/>
              <w:rPr>
                <w:b/>
              </w:rPr>
            </w:pPr>
            <w:r>
              <w:rPr>
                <w:b/>
              </w:rPr>
              <w:t>224,649</w:t>
            </w:r>
          </w:p>
        </w:tc>
        <w:tc>
          <w:tcPr>
            <w:tcW w:w="1921" w:type="dxa"/>
          </w:tcPr>
          <w:p w:rsidR="00636D1E" w:rsidRDefault="00636D1E" w:rsidP="000933DC">
            <w:pPr>
              <w:pStyle w:val="TableParagraph"/>
              <w:spacing w:line="265" w:lineRule="exact"/>
              <w:ind w:left="451" w:right="450"/>
              <w:jc w:val="center"/>
              <w:rPr>
                <w:b/>
              </w:rPr>
            </w:pPr>
            <w:r>
              <w:rPr>
                <w:b/>
              </w:rPr>
              <w:t>23,141</w:t>
            </w:r>
          </w:p>
        </w:tc>
        <w:tc>
          <w:tcPr>
            <w:tcW w:w="1886" w:type="dxa"/>
          </w:tcPr>
          <w:p w:rsidR="00636D1E" w:rsidRDefault="00636D1E" w:rsidP="000933DC">
            <w:pPr>
              <w:pStyle w:val="TableParagraph"/>
              <w:spacing w:line="265" w:lineRule="exact"/>
              <w:ind w:left="0" w:right="573"/>
              <w:jc w:val="right"/>
              <w:rPr>
                <w:b/>
              </w:rPr>
            </w:pPr>
            <w:r>
              <w:rPr>
                <w:b/>
              </w:rPr>
              <w:t>278,310</w:t>
            </w:r>
          </w:p>
        </w:tc>
      </w:tr>
      <w:tr w:rsidR="00636D1E" w:rsidTr="005170BE">
        <w:trPr>
          <w:trHeight w:hRule="exact" w:val="278"/>
        </w:trPr>
        <w:tc>
          <w:tcPr>
            <w:tcW w:w="3120" w:type="dxa"/>
          </w:tcPr>
          <w:p w:rsidR="00636D1E" w:rsidRDefault="00636D1E" w:rsidP="000933DC">
            <w:pPr>
              <w:pStyle w:val="TableParagraph"/>
              <w:spacing w:line="265" w:lineRule="exact"/>
              <w:rPr>
                <w:i/>
              </w:rPr>
            </w:pPr>
            <w:r>
              <w:rPr>
                <w:i/>
              </w:rPr>
              <w:t>SELEP funding as % of total</w:t>
            </w:r>
          </w:p>
        </w:tc>
        <w:tc>
          <w:tcPr>
            <w:tcW w:w="1873" w:type="dxa"/>
          </w:tcPr>
          <w:p w:rsidR="00636D1E" w:rsidRDefault="00636D1E" w:rsidP="000933DC">
            <w:pPr>
              <w:pStyle w:val="TableParagraph"/>
              <w:spacing w:line="265" w:lineRule="exact"/>
              <w:ind w:left="428" w:right="426"/>
              <w:jc w:val="center"/>
              <w:rPr>
                <w:i/>
              </w:rPr>
            </w:pPr>
            <w:r>
              <w:rPr>
                <w:i/>
              </w:rPr>
              <w:t>18.1%</w:t>
            </w:r>
          </w:p>
        </w:tc>
        <w:tc>
          <w:tcPr>
            <w:tcW w:w="1884" w:type="dxa"/>
          </w:tcPr>
          <w:p w:rsidR="00636D1E" w:rsidRDefault="00636D1E" w:rsidP="000933DC">
            <w:pPr>
              <w:pStyle w:val="TableParagraph"/>
              <w:spacing w:line="265" w:lineRule="exact"/>
              <w:ind w:left="433" w:right="433"/>
              <w:jc w:val="center"/>
              <w:rPr>
                <w:i/>
              </w:rPr>
            </w:pPr>
            <w:r>
              <w:rPr>
                <w:i/>
              </w:rPr>
              <w:t>69.2%</w:t>
            </w:r>
          </w:p>
        </w:tc>
        <w:tc>
          <w:tcPr>
            <w:tcW w:w="1921" w:type="dxa"/>
          </w:tcPr>
          <w:p w:rsidR="00636D1E" w:rsidRDefault="00636D1E" w:rsidP="000933DC">
            <w:pPr>
              <w:pStyle w:val="TableParagraph"/>
              <w:spacing w:line="265" w:lineRule="exact"/>
              <w:ind w:left="0"/>
              <w:jc w:val="center"/>
              <w:rPr>
                <w:i/>
              </w:rPr>
            </w:pPr>
            <w:r>
              <w:rPr>
                <w:i/>
              </w:rPr>
              <w:t>-</w:t>
            </w:r>
          </w:p>
        </w:tc>
        <w:tc>
          <w:tcPr>
            <w:tcW w:w="1886" w:type="dxa"/>
          </w:tcPr>
          <w:p w:rsidR="00636D1E" w:rsidRDefault="00636D1E" w:rsidP="000933DC">
            <w:pPr>
              <w:pStyle w:val="TableParagraph"/>
              <w:spacing w:line="265" w:lineRule="exact"/>
              <w:ind w:left="0" w:right="660"/>
              <w:jc w:val="right"/>
              <w:rPr>
                <w:i/>
              </w:rPr>
            </w:pPr>
            <w:r>
              <w:rPr>
                <w:i/>
              </w:rPr>
              <w:t>57.8%</w:t>
            </w:r>
          </w:p>
        </w:tc>
      </w:tr>
      <w:tr w:rsidR="00636D1E" w:rsidTr="005170BE">
        <w:trPr>
          <w:trHeight w:hRule="exact" w:val="817"/>
        </w:trPr>
        <w:tc>
          <w:tcPr>
            <w:tcW w:w="10684" w:type="dxa"/>
            <w:gridSpan w:val="5"/>
          </w:tcPr>
          <w:p w:rsidR="00636D1E" w:rsidRDefault="00636D1E" w:rsidP="000933DC">
            <w:pPr>
              <w:pStyle w:val="TableParagraph"/>
              <w:ind w:right="366"/>
            </w:pPr>
            <w:r>
              <w:t>* Medway Council and Tonbridge &amp; Malling BC committed to providing match funding: actual split in 2018/19 and 2019/20 subject to final confirmation.</w:t>
            </w:r>
          </w:p>
          <w:p w:rsidR="00636D1E" w:rsidRDefault="00636D1E" w:rsidP="000933DC">
            <w:pPr>
              <w:pStyle w:val="TableParagraph"/>
              <w:spacing w:before="4"/>
            </w:pPr>
            <w:r>
              <w:t>** Assuming 10% of contract payable on completion falling into 2019/20</w:t>
            </w:r>
          </w:p>
        </w:tc>
      </w:tr>
    </w:tbl>
    <w:p w:rsidR="00E207E6" w:rsidRPr="00E207E6" w:rsidRDefault="00E207E6" w:rsidP="00636D1E">
      <w:pPr>
        <w:pStyle w:val="ListParagraph"/>
        <w:ind w:left="567"/>
        <w:rPr>
          <w:b/>
        </w:rPr>
      </w:pPr>
    </w:p>
    <w:p w:rsidR="00E207E6" w:rsidRDefault="00A6536D" w:rsidP="00B5194B">
      <w:pPr>
        <w:pStyle w:val="ListParagraph"/>
        <w:numPr>
          <w:ilvl w:val="1"/>
          <w:numId w:val="1"/>
        </w:numPr>
        <w:ind w:left="567" w:hanging="567"/>
      </w:pPr>
      <w:r>
        <w:t>Match funding contributions have been confirmed, however, t</w:t>
      </w:r>
      <w:r w:rsidR="00E207E6" w:rsidRPr="00E207E6">
        <w:t>he</w:t>
      </w:r>
      <w:r>
        <w:t xml:space="preserve"> profile of the</w:t>
      </w:r>
      <w:r w:rsidR="00E207E6" w:rsidRPr="00E207E6">
        <w:t xml:space="preserve"> match funding</w:t>
      </w:r>
      <w:r>
        <w:t xml:space="preserve"> from Medway Council and Tonbridge and Malling Borough Council</w:t>
      </w:r>
      <w:r w:rsidR="00E207E6" w:rsidRPr="00E207E6">
        <w:t xml:space="preserve"> for the Project, as set out in Table 1 above, </w:t>
      </w:r>
      <w:r>
        <w:t>had</w:t>
      </w:r>
      <w:r w:rsidR="00E207E6" w:rsidRPr="00E207E6">
        <w:t xml:space="preserve"> not</w:t>
      </w:r>
      <w:r w:rsidR="00E207E6">
        <w:t xml:space="preserve"> </w:t>
      </w:r>
      <w:r w:rsidR="00E207E6" w:rsidRPr="00E207E6">
        <w:t>been confirmed</w:t>
      </w:r>
      <w:r>
        <w:t xml:space="preserve"> at the point of application.</w:t>
      </w:r>
      <w:r w:rsidR="00E207E6">
        <w:br/>
      </w:r>
    </w:p>
    <w:p w:rsidR="00B5194B" w:rsidRPr="004133CF" w:rsidRDefault="00B5194B" w:rsidP="00A6536D">
      <w:pPr>
        <w:pStyle w:val="ListParagraph"/>
        <w:ind w:left="567"/>
      </w:pPr>
    </w:p>
    <w:p w:rsidR="006E6315" w:rsidRDefault="00DA6EEB" w:rsidP="006E6315">
      <w:pPr>
        <w:pStyle w:val="ListParagraph"/>
        <w:numPr>
          <w:ilvl w:val="0"/>
          <w:numId w:val="1"/>
        </w:numPr>
        <w:ind w:left="567" w:hanging="567"/>
        <w:rPr>
          <w:b/>
        </w:rPr>
      </w:pPr>
      <w:r w:rsidRPr="00DA6EEB">
        <w:rPr>
          <w:b/>
        </w:rPr>
        <w:t>Issues for consideration</w:t>
      </w:r>
      <w:r w:rsidR="006E6315">
        <w:rPr>
          <w:b/>
        </w:rPr>
        <w:br/>
      </w:r>
    </w:p>
    <w:p w:rsidR="00A77658" w:rsidRPr="00A77658" w:rsidRDefault="001B661D" w:rsidP="00A77658">
      <w:pPr>
        <w:pStyle w:val="ListParagraph"/>
        <w:numPr>
          <w:ilvl w:val="1"/>
          <w:numId w:val="1"/>
        </w:numPr>
        <w:ind w:left="567" w:hanging="567"/>
        <w:rPr>
          <w:b/>
        </w:rPr>
      </w:pPr>
      <w:r>
        <w:rPr>
          <w:b/>
        </w:rPr>
        <w:t>Risks and Dependencies</w:t>
      </w:r>
      <w:r w:rsidR="00A77658">
        <w:rPr>
          <w:b/>
        </w:rPr>
        <w:br/>
      </w:r>
    </w:p>
    <w:p w:rsidR="00A77658" w:rsidRPr="00244797" w:rsidRDefault="00A77658" w:rsidP="00A77658">
      <w:pPr>
        <w:pStyle w:val="ListParagraph"/>
        <w:numPr>
          <w:ilvl w:val="2"/>
          <w:numId w:val="1"/>
        </w:numPr>
        <w:ind w:left="567" w:hanging="567"/>
        <w:rPr>
          <w:b/>
        </w:rPr>
      </w:pPr>
      <w:r w:rsidRPr="00244797">
        <w:t>The timing of public consultation on the IPM Masterplan may need to be informed by processes associated with the emerging New Local Plan in Medway.</w:t>
      </w:r>
    </w:p>
    <w:p w:rsidR="00A77658" w:rsidRPr="00244797" w:rsidRDefault="00A77658" w:rsidP="00A77658"/>
    <w:p w:rsidR="001B661D" w:rsidRPr="00244797" w:rsidRDefault="00A77658" w:rsidP="00A77658">
      <w:pPr>
        <w:pStyle w:val="ListParagraph"/>
        <w:numPr>
          <w:ilvl w:val="2"/>
          <w:numId w:val="1"/>
        </w:numPr>
        <w:ind w:left="567" w:hanging="567"/>
      </w:pPr>
      <w:r w:rsidRPr="00244797">
        <w:t>Formal adoption of the LDOs may not be possible until after local election purdah in spring 2019, though the work should be substantively completed by the end of Q1 2019.</w:t>
      </w:r>
      <w:r w:rsidR="001B661D" w:rsidRPr="00244797">
        <w:br/>
      </w:r>
    </w:p>
    <w:p w:rsidR="00633023" w:rsidRDefault="00633023" w:rsidP="00A27674">
      <w:pPr>
        <w:pStyle w:val="ListParagraph"/>
        <w:numPr>
          <w:ilvl w:val="1"/>
          <w:numId w:val="1"/>
        </w:numPr>
        <w:ind w:left="567" w:hanging="567"/>
        <w:rPr>
          <w:b/>
        </w:rPr>
      </w:pPr>
      <w:r>
        <w:rPr>
          <w:b/>
        </w:rPr>
        <w:t>Outcome of ITR</w:t>
      </w:r>
      <w:r w:rsidRPr="00651BA9">
        <w:rPr>
          <w:b/>
        </w:rPr>
        <w:t xml:space="preserve"> </w:t>
      </w:r>
      <w:r>
        <w:rPr>
          <w:b/>
        </w:rPr>
        <w:t xml:space="preserve">Process </w:t>
      </w:r>
      <w:r w:rsidRPr="006E6315">
        <w:rPr>
          <w:i/>
        </w:rPr>
        <w:t>(Accountable Body Comments)</w:t>
      </w:r>
      <w:r>
        <w:rPr>
          <w:b/>
        </w:rPr>
        <w:br/>
      </w:r>
    </w:p>
    <w:p w:rsidR="00633023" w:rsidRPr="000B095A" w:rsidRDefault="00633023" w:rsidP="00633023">
      <w:pPr>
        <w:pStyle w:val="ListParagraph"/>
        <w:numPr>
          <w:ilvl w:val="2"/>
          <w:numId w:val="1"/>
        </w:numPr>
        <w:ind w:left="567" w:hanging="567"/>
        <w:rPr>
          <w:b/>
        </w:rPr>
      </w:pPr>
      <w:r>
        <w:t xml:space="preserve">The Accountable Body has independently </w:t>
      </w:r>
      <w:r w:rsidRPr="003C6E04">
        <w:t xml:space="preserve">assessed the Project </w:t>
      </w:r>
      <w:r>
        <w:t>Bid Document</w:t>
      </w:r>
      <w:r w:rsidRPr="003C6E04">
        <w:t xml:space="preserve"> and has </w:t>
      </w:r>
      <w:r>
        <w:t>confirmed</w:t>
      </w:r>
      <w:r w:rsidRPr="003C6E04">
        <w:t xml:space="preserve"> that the Project </w:t>
      </w:r>
      <w:r>
        <w:t xml:space="preserve">meets the criteria for funding, including the Assurance Framework requirement with regard to </w:t>
      </w:r>
      <w:r w:rsidR="00483FF0">
        <w:t>the expectation</w:t>
      </w:r>
      <w:r>
        <w:t xml:space="preserve"> that high</w:t>
      </w:r>
      <w:r w:rsidRPr="003C6E04">
        <w:t xml:space="preserve"> value for money</w:t>
      </w:r>
      <w:r>
        <w:t xml:space="preserve"> will be achieved</w:t>
      </w:r>
      <w:r w:rsidRPr="003C6E04">
        <w:t>.</w:t>
      </w:r>
      <w:r>
        <w:br/>
      </w:r>
    </w:p>
    <w:p w:rsidR="000F44CC" w:rsidRPr="00F76FF9" w:rsidRDefault="00633023" w:rsidP="000F44CC">
      <w:pPr>
        <w:pStyle w:val="ListParagraph"/>
        <w:numPr>
          <w:ilvl w:val="2"/>
          <w:numId w:val="1"/>
        </w:numPr>
        <w:ind w:left="567" w:hanging="567"/>
      </w:pPr>
      <w:r w:rsidRPr="003C6E04">
        <w:t>The economic appraisal has evidenced a Benefit Cost Ratio (BCR) of</w:t>
      </w:r>
      <w:r>
        <w:t xml:space="preserve"> </w:t>
      </w:r>
      <w:r w:rsidR="00CA6BA8">
        <w:t>between 1.21</w:t>
      </w:r>
      <w:r w:rsidR="002655A4">
        <w:t xml:space="preserve">:1 and </w:t>
      </w:r>
      <w:r w:rsidR="00CA6BA8">
        <w:t>1.92</w:t>
      </w:r>
      <w:r w:rsidR="002655A4">
        <w:t>:1</w:t>
      </w:r>
      <w:r w:rsidR="00483FF0">
        <w:t xml:space="preserve"> to the public sector investment</w:t>
      </w:r>
      <w:r>
        <w:t xml:space="preserve">. The benefits are based on the expectation of </w:t>
      </w:r>
      <w:r w:rsidR="00F76FF9">
        <w:t>the a</w:t>
      </w:r>
      <w:r w:rsidR="00F76FF9" w:rsidRPr="00F76FF9">
        <w:t xml:space="preserve">cceleration of business rate yield for reinvestment in </w:t>
      </w:r>
      <w:r w:rsidR="00F76FF9">
        <w:t xml:space="preserve">the </w:t>
      </w:r>
      <w:r w:rsidR="00F76FF9" w:rsidRPr="00F76FF9">
        <w:t>E</w:t>
      </w:r>
      <w:r w:rsidR="00F76FF9">
        <w:t xml:space="preserve">nterprise </w:t>
      </w:r>
      <w:r w:rsidR="00F76FF9" w:rsidRPr="00F76FF9">
        <w:t>Z</w:t>
      </w:r>
      <w:r w:rsidR="00F76FF9">
        <w:t>one</w:t>
      </w:r>
      <w:r w:rsidR="00F76FF9" w:rsidRPr="00F76FF9">
        <w:t>,</w:t>
      </w:r>
      <w:r w:rsidR="00F76FF9">
        <w:t xml:space="preserve"> supporting</w:t>
      </w:r>
      <w:r w:rsidR="00F76FF9" w:rsidRPr="00F76FF9">
        <w:t xml:space="preserve"> enterprise and growth</w:t>
      </w:r>
      <w:r w:rsidR="00F76FF9">
        <w:t>.</w:t>
      </w:r>
      <w:r w:rsidR="00F76FF9">
        <w:br/>
      </w:r>
    </w:p>
    <w:p w:rsidR="00483FF0" w:rsidRPr="000F44CC" w:rsidRDefault="00483FF0" w:rsidP="000F44CC">
      <w:pPr>
        <w:pStyle w:val="ListParagraph"/>
        <w:numPr>
          <w:ilvl w:val="2"/>
          <w:numId w:val="1"/>
        </w:numPr>
        <w:ind w:left="567" w:hanging="567"/>
        <w:rPr>
          <w:b/>
        </w:rPr>
      </w:pPr>
      <w:r>
        <w:t xml:space="preserve">Although the BCR </w:t>
      </w:r>
      <w:r w:rsidR="006F490D">
        <w:t>doesn’t</w:t>
      </w:r>
      <w:r>
        <w:t xml:space="preserve"> meet the threshold of 2:1required to demonstrate high value for money, </w:t>
      </w:r>
      <w:r w:rsidRPr="00483FF0">
        <w:t>addition</w:t>
      </w:r>
      <w:r>
        <w:t>al, unquantified benefits have been identified which fulfil</w:t>
      </w:r>
      <w:r w:rsidR="006F490D">
        <w:t>s</w:t>
      </w:r>
      <w:r>
        <w:t xml:space="preserve"> the criteria for high value for money</w:t>
      </w:r>
      <w:r w:rsidR="00280FD9">
        <w:t>; this is</w:t>
      </w:r>
      <w:r>
        <w:t xml:space="preserve"> defined by exemption 1 i</w:t>
      </w:r>
      <w:r w:rsidR="00280FD9">
        <w:t>n the SELEP Assurance Framework:</w:t>
      </w:r>
      <w:r>
        <w:t xml:space="preserve"> </w:t>
      </w:r>
      <w:r w:rsidRPr="000F44CC">
        <w:rPr>
          <w:i/>
        </w:rPr>
        <w:br/>
      </w:r>
      <w:r w:rsidRPr="000F44CC">
        <w:rPr>
          <w:i/>
        </w:rPr>
        <w:br/>
      </w:r>
      <w:r w:rsidR="00280FD9">
        <w:rPr>
          <w:rFonts w:cs="Open Sans"/>
          <w:u w:val="single"/>
        </w:rPr>
        <w:lastRenderedPageBreak/>
        <w:t xml:space="preserve">Exemption 1 </w:t>
      </w:r>
      <w:r w:rsidR="00280FD9" w:rsidRPr="00280FD9">
        <w:rPr>
          <w:rFonts w:cs="Open Sans"/>
        </w:rPr>
        <w:t xml:space="preserve">- </w:t>
      </w:r>
      <w:r w:rsidRPr="00280FD9">
        <w:rPr>
          <w:rFonts w:cs="Open Sans"/>
        </w:rPr>
        <w:t xml:space="preserve"> </w:t>
      </w:r>
      <w:r w:rsidRPr="000F44CC">
        <w:rPr>
          <w:rFonts w:cs="Open Sans"/>
        </w:rPr>
        <w:t>This may be applied where a project does not present High Value for Money (a Benefit Cost Ratio of over 2:1); but</w:t>
      </w:r>
    </w:p>
    <w:p w:rsidR="00483FF0" w:rsidRPr="00016DF6" w:rsidRDefault="00483FF0" w:rsidP="00483FF0">
      <w:pPr>
        <w:autoSpaceDE w:val="0"/>
        <w:autoSpaceDN w:val="0"/>
        <w:adjustRightInd w:val="0"/>
        <w:contextualSpacing/>
        <w:rPr>
          <w:rFonts w:cs="Open Sans"/>
        </w:rPr>
      </w:pPr>
    </w:p>
    <w:p w:rsidR="00483FF0" w:rsidRPr="00B84E48" w:rsidRDefault="00483FF0" w:rsidP="00483FF0">
      <w:pPr>
        <w:pStyle w:val="ListParagraph"/>
        <w:numPr>
          <w:ilvl w:val="0"/>
          <w:numId w:val="8"/>
        </w:numPr>
        <w:autoSpaceDE w:val="0"/>
        <w:autoSpaceDN w:val="0"/>
        <w:adjustRightInd w:val="0"/>
      </w:pPr>
      <w:r w:rsidRPr="00B84E48">
        <w:t>has a Benefit Cost Ratio value of greater than 1.5:1; or</w:t>
      </w:r>
    </w:p>
    <w:p w:rsidR="00483FF0" w:rsidRPr="00B84E48" w:rsidRDefault="00483FF0" w:rsidP="00483FF0">
      <w:pPr>
        <w:pStyle w:val="ListParagraph"/>
        <w:numPr>
          <w:ilvl w:val="0"/>
          <w:numId w:val="8"/>
        </w:numPr>
        <w:autoSpaceDE w:val="0"/>
        <w:autoSpaceDN w:val="0"/>
        <w:adjustRightInd w:val="0"/>
      </w:pPr>
      <w:r w:rsidRPr="00B84E48">
        <w:t xml:space="preserve">where the project benefits are notoriously difficult to appraise in monetary terms. </w:t>
      </w:r>
    </w:p>
    <w:p w:rsidR="00483FF0" w:rsidRPr="00F36B3E" w:rsidRDefault="00483FF0" w:rsidP="00483FF0">
      <w:pPr>
        <w:autoSpaceDE w:val="0"/>
        <w:autoSpaceDN w:val="0"/>
        <w:adjustRightInd w:val="0"/>
        <w:rPr>
          <w:rFonts w:cs="Open Sans"/>
        </w:rPr>
      </w:pPr>
    </w:p>
    <w:p w:rsidR="00483FF0" w:rsidRPr="00B84E48" w:rsidRDefault="00483FF0" w:rsidP="00483FF0">
      <w:pPr>
        <w:spacing w:line="23" w:lineRule="atLeast"/>
        <w:ind w:left="284"/>
        <w:contextualSpacing/>
      </w:pPr>
      <w:r w:rsidRPr="00B84E48">
        <w:t>Exemption 1 will only apply if the following conditions are satisfied:</w:t>
      </w:r>
    </w:p>
    <w:p w:rsidR="00483FF0" w:rsidRPr="000A0DAC" w:rsidRDefault="00483FF0" w:rsidP="00483FF0">
      <w:pPr>
        <w:pStyle w:val="ListParagraph"/>
        <w:spacing w:line="23" w:lineRule="atLeast"/>
        <w:ind w:left="525"/>
      </w:pPr>
    </w:p>
    <w:p w:rsidR="00483FF0" w:rsidRPr="000A0DAC" w:rsidRDefault="00483FF0" w:rsidP="00483FF0">
      <w:pPr>
        <w:pStyle w:val="ListParagraph"/>
        <w:numPr>
          <w:ilvl w:val="4"/>
          <w:numId w:val="7"/>
        </w:numPr>
        <w:spacing w:line="23" w:lineRule="atLeast"/>
        <w:ind w:left="1560" w:hanging="567"/>
      </w:pPr>
      <w:r w:rsidRPr="000A0DAC">
        <w:t xml:space="preserve">The funding sought from SELEP in relation to the project must be less than £2.0m and to conduct further quantified and monetised economic appraisal would be disproportionate; and </w:t>
      </w:r>
    </w:p>
    <w:p w:rsidR="00483FF0" w:rsidRPr="000A0DAC" w:rsidRDefault="00483FF0" w:rsidP="00483FF0">
      <w:pPr>
        <w:pStyle w:val="ListParagraph"/>
        <w:numPr>
          <w:ilvl w:val="4"/>
          <w:numId w:val="7"/>
        </w:numPr>
        <w:spacing w:line="23" w:lineRule="atLeast"/>
        <w:ind w:left="1560" w:hanging="567"/>
      </w:pPr>
      <w:r w:rsidRPr="000A0DAC">
        <w:t>where there is an overwhelming strategic case (with minimal risk in the other cases); and</w:t>
      </w:r>
    </w:p>
    <w:p w:rsidR="00483FF0" w:rsidRPr="000A0DAC" w:rsidRDefault="00483FF0" w:rsidP="00483FF0">
      <w:pPr>
        <w:pStyle w:val="ListParagraph"/>
        <w:numPr>
          <w:ilvl w:val="4"/>
          <w:numId w:val="7"/>
        </w:numPr>
        <w:spacing w:line="23" w:lineRule="atLeast"/>
        <w:ind w:left="1560" w:hanging="567"/>
      </w:pPr>
      <w:r w:rsidRPr="000A0DAC">
        <w:t>there are qualitative benefits which, if monetised, would most likely increase the benefit-cost ratio above 2:1.</w:t>
      </w:r>
    </w:p>
    <w:p w:rsidR="00483FF0" w:rsidRPr="000A0DAC" w:rsidRDefault="00483FF0" w:rsidP="00483FF0">
      <w:pPr>
        <w:pStyle w:val="ListParagraph"/>
        <w:ind w:left="567"/>
      </w:pPr>
      <w:r w:rsidRPr="000A0DAC">
        <w:br/>
      </w:r>
    </w:p>
    <w:p w:rsidR="00A27674" w:rsidRPr="00A27674" w:rsidRDefault="00DA6EEB" w:rsidP="00A27674">
      <w:pPr>
        <w:pStyle w:val="ListParagraph"/>
        <w:numPr>
          <w:ilvl w:val="1"/>
          <w:numId w:val="1"/>
        </w:numPr>
        <w:ind w:left="567" w:hanging="567"/>
        <w:rPr>
          <w:b/>
        </w:rPr>
      </w:pPr>
      <w:r w:rsidRPr="006E6315">
        <w:rPr>
          <w:b/>
        </w:rPr>
        <w:t xml:space="preserve">Financial implications </w:t>
      </w:r>
      <w:r w:rsidRPr="006E6315">
        <w:rPr>
          <w:i/>
        </w:rPr>
        <w:t>(</w:t>
      </w:r>
      <w:r w:rsidR="00681DDD" w:rsidRPr="006E6315">
        <w:rPr>
          <w:i/>
        </w:rPr>
        <w:t>Accountable Body Comments</w:t>
      </w:r>
      <w:r w:rsidRPr="006E6315">
        <w:rPr>
          <w:i/>
        </w:rPr>
        <w:t>)</w:t>
      </w:r>
      <w:r w:rsidR="00A27674">
        <w:rPr>
          <w:i/>
        </w:rPr>
        <w:br/>
      </w:r>
    </w:p>
    <w:p w:rsidR="006F490D" w:rsidRPr="006F490D" w:rsidRDefault="003B4818" w:rsidP="00A27674">
      <w:pPr>
        <w:pStyle w:val="ListParagraph"/>
        <w:numPr>
          <w:ilvl w:val="2"/>
          <w:numId w:val="1"/>
        </w:numPr>
        <w:ind w:left="567" w:hanging="567"/>
        <w:rPr>
          <w:b/>
        </w:rPr>
      </w:pPr>
      <w:r>
        <w:t>Up to £500,000 of the GPF revenue grant was made available in 2017/18 to support the SSF; to date, none of this grant has been</w:t>
      </w:r>
      <w:r w:rsidR="006F490D">
        <w:t xml:space="preserve"> formally</w:t>
      </w:r>
      <w:r>
        <w:t xml:space="preserve"> committed to projects</w:t>
      </w:r>
      <w:r w:rsidR="0051255D">
        <w:t xml:space="preserve"> and the full £500,000 has been carried forward into 2018/19</w:t>
      </w:r>
      <w:r>
        <w:t xml:space="preserve"> and </w:t>
      </w:r>
      <w:r w:rsidR="0051255D">
        <w:t xml:space="preserve">added to the equivalent allocation available in this financial year; </w:t>
      </w:r>
      <w:r>
        <w:t>as such, sufficient funding is available to support the request for this Project.</w:t>
      </w:r>
      <w:r w:rsidR="006F490D">
        <w:br/>
      </w:r>
    </w:p>
    <w:p w:rsidR="00D768C2" w:rsidRPr="00D768C2" w:rsidRDefault="006F490D" w:rsidP="00A27674">
      <w:pPr>
        <w:pStyle w:val="ListParagraph"/>
        <w:numPr>
          <w:ilvl w:val="2"/>
          <w:numId w:val="1"/>
        </w:numPr>
        <w:ind w:left="567" w:hanging="567"/>
        <w:rPr>
          <w:b/>
        </w:rPr>
      </w:pPr>
      <w:r>
        <w:t xml:space="preserve">The project was endorsed by the SELEP Strategic Board in June 2017 alongside two other projects; the total request for these Projects </w:t>
      </w:r>
      <w:r w:rsidR="005170BE">
        <w:t>was £371,000; if all funding for these projects is approved, this leaves £129,000 outstanding from the 2017/18 budgeted allocation of the SSF</w:t>
      </w:r>
      <w:r w:rsidR="0051255D">
        <w:t>, plus the additional £500,000 allocation for 2018/19</w:t>
      </w:r>
      <w:r w:rsidR="005170BE">
        <w:t>.</w:t>
      </w:r>
      <w:r w:rsidR="00D768C2">
        <w:br/>
      </w:r>
    </w:p>
    <w:p w:rsidR="00987370" w:rsidRPr="00987370" w:rsidRDefault="005170BE" w:rsidP="00A27674">
      <w:pPr>
        <w:pStyle w:val="ListParagraph"/>
        <w:numPr>
          <w:ilvl w:val="2"/>
          <w:numId w:val="1"/>
        </w:numPr>
        <w:ind w:left="567" w:hanging="567"/>
        <w:rPr>
          <w:b/>
        </w:rPr>
      </w:pPr>
      <w:r>
        <w:t>The SSF</w:t>
      </w:r>
      <w:r w:rsidR="00D768C2">
        <w:t xml:space="preserve"> grant is a fixed</w:t>
      </w:r>
      <w:r w:rsidR="00C2381F">
        <w:t xml:space="preserve"> maximum</w:t>
      </w:r>
      <w:r>
        <w:t xml:space="preserve"> contribution to the P</w:t>
      </w:r>
      <w:r w:rsidR="00D768C2">
        <w:t>roject</w:t>
      </w:r>
      <w:r>
        <w:t>; any P</w:t>
      </w:r>
      <w:r w:rsidR="00C2381F">
        <w:t>roject overspends incurred will be required to be addressed by the Project delivery partner.</w:t>
      </w:r>
      <w:r w:rsidR="00987370">
        <w:br/>
      </w:r>
    </w:p>
    <w:p w:rsidR="005170BE" w:rsidRPr="005170BE" w:rsidRDefault="005170BE" w:rsidP="00425CAE">
      <w:pPr>
        <w:pStyle w:val="ListParagraph"/>
        <w:numPr>
          <w:ilvl w:val="2"/>
          <w:numId w:val="1"/>
        </w:numPr>
        <w:ind w:left="567" w:hanging="567"/>
        <w:rPr>
          <w:b/>
        </w:rPr>
      </w:pPr>
      <w:r>
        <w:t>It is noted that the match funding contributions for the Project have been confirmed by the respective partner organisations, although the final profile has yet to be agreed.</w:t>
      </w:r>
      <w:r>
        <w:br/>
      </w:r>
    </w:p>
    <w:p w:rsidR="00A27674" w:rsidRPr="00425CAE" w:rsidRDefault="005170BE" w:rsidP="00425CAE">
      <w:pPr>
        <w:pStyle w:val="ListParagraph"/>
        <w:numPr>
          <w:ilvl w:val="2"/>
          <w:numId w:val="1"/>
        </w:numPr>
        <w:ind w:left="567" w:hanging="567"/>
        <w:rPr>
          <w:b/>
        </w:rPr>
      </w:pPr>
      <w:r>
        <w:t>The risks to the project identified above represent a potential delay in delivery of the project which may result in a potential delay in benefits realisation – this will be monitored through the Project reporting that will be included as a condition of funding.</w:t>
      </w:r>
      <w:r w:rsidR="00A27674" w:rsidRPr="00425CAE">
        <w:rPr>
          <w:b/>
        </w:rPr>
        <w:br/>
      </w:r>
    </w:p>
    <w:p w:rsidR="00DA6EEB" w:rsidRPr="00A27674" w:rsidRDefault="00DA6EEB" w:rsidP="00A27674">
      <w:pPr>
        <w:pStyle w:val="ListParagraph"/>
        <w:numPr>
          <w:ilvl w:val="1"/>
          <w:numId w:val="1"/>
        </w:numPr>
        <w:ind w:left="567" w:hanging="567"/>
        <w:rPr>
          <w:b/>
        </w:rPr>
      </w:pPr>
      <w:r w:rsidRPr="00A27674">
        <w:rPr>
          <w:b/>
        </w:rPr>
        <w:t xml:space="preserve">Legal implications </w:t>
      </w:r>
      <w:r w:rsidR="00681DDD" w:rsidRPr="00A27674">
        <w:rPr>
          <w:i/>
        </w:rPr>
        <w:t>(Accountable Body Comments)</w:t>
      </w:r>
      <w:r w:rsidR="00A27674">
        <w:rPr>
          <w:i/>
        </w:rPr>
        <w:br/>
      </w:r>
    </w:p>
    <w:p w:rsidR="00931DDC" w:rsidRPr="00597424" w:rsidRDefault="003B4818" w:rsidP="001922F7">
      <w:pPr>
        <w:pStyle w:val="ListParagraph"/>
        <w:numPr>
          <w:ilvl w:val="2"/>
          <w:numId w:val="1"/>
        </w:numPr>
        <w:ind w:left="567" w:hanging="567"/>
      </w:pPr>
      <w:r>
        <w:t xml:space="preserve">The grant will be transferred to </w:t>
      </w:r>
      <w:r w:rsidR="00A9454E">
        <w:t>Medway council</w:t>
      </w:r>
      <w:r>
        <w:t xml:space="preserve"> via a grant agre</w:t>
      </w:r>
      <w:r w:rsidR="00597424">
        <w:t>ement with the</w:t>
      </w:r>
      <w:r w:rsidR="00E32A88">
        <w:t xml:space="preserve"> SELEP</w:t>
      </w:r>
      <w:r w:rsidR="00597424">
        <w:t xml:space="preserve"> Accountable Body; the grant agreement will include a requirement for claw back of the funding if it is not fully expended or not expended in line </w:t>
      </w:r>
      <w:r w:rsidR="00597424">
        <w:lastRenderedPageBreak/>
        <w:t>with the Project Bid Document</w:t>
      </w:r>
      <w:r w:rsidR="00E32A88">
        <w:rPr>
          <w:i/>
        </w:rPr>
        <w:t>.</w:t>
      </w:r>
      <w:r w:rsidR="00597424" w:rsidRPr="00597424">
        <w:rPr>
          <w:i/>
        </w:rPr>
        <w:br/>
      </w:r>
    </w:p>
    <w:p w:rsidR="00DA6EEB" w:rsidRPr="00597424" w:rsidRDefault="001922F7" w:rsidP="001922F7">
      <w:pPr>
        <w:ind w:left="567" w:hanging="567"/>
      </w:pPr>
      <w:r>
        <w:rPr>
          <w:i/>
        </w:rPr>
        <w:tab/>
      </w:r>
    </w:p>
    <w:p w:rsidR="005170BE" w:rsidRDefault="00F23FF1" w:rsidP="005170BE">
      <w:pPr>
        <w:pStyle w:val="ListParagraph"/>
        <w:numPr>
          <w:ilvl w:val="0"/>
          <w:numId w:val="1"/>
        </w:numPr>
        <w:ind w:left="567" w:hanging="567"/>
        <w:rPr>
          <w:b/>
        </w:rPr>
      </w:pPr>
      <w:r w:rsidRPr="00F23FF1">
        <w:rPr>
          <w:b/>
        </w:rPr>
        <w:t>Equality and Diversity implications</w:t>
      </w:r>
      <w:r w:rsidR="005170BE">
        <w:rPr>
          <w:b/>
        </w:rPr>
        <w:br/>
      </w:r>
    </w:p>
    <w:p w:rsidR="00022EBB" w:rsidRPr="005170BE" w:rsidRDefault="00022EBB" w:rsidP="005170BE">
      <w:pPr>
        <w:pStyle w:val="ListParagraph"/>
        <w:numPr>
          <w:ilvl w:val="1"/>
          <w:numId w:val="1"/>
        </w:numPr>
        <w:ind w:left="567" w:hanging="567"/>
        <w:rPr>
          <w:b/>
        </w:rPr>
      </w:pPr>
      <w:r w:rsidRPr="004022F6">
        <w:t xml:space="preserve">Section 149 of the Equality Act 2010 creates the public sector equality duty which requires that when a public sector body makes decisions it must have regard to the need to: </w:t>
      </w:r>
    </w:p>
    <w:p w:rsidR="00022EBB" w:rsidRPr="004022F6" w:rsidRDefault="00022EBB" w:rsidP="00022EBB">
      <w:pPr>
        <w:ind w:left="1134" w:hanging="425"/>
      </w:pPr>
      <w:r w:rsidRPr="004022F6">
        <w:t xml:space="preserve">(a)   Eliminate unlawful discrimination, harassment and victimisation and other behaviour prohibited by the Act </w:t>
      </w:r>
    </w:p>
    <w:p w:rsidR="00022EBB" w:rsidRPr="004022F6" w:rsidRDefault="00022EBB" w:rsidP="00022EBB">
      <w:pPr>
        <w:ind w:left="1134" w:hanging="425"/>
      </w:pPr>
      <w:r w:rsidRPr="004022F6">
        <w:t xml:space="preserve">(b)   Advance equality of opportunity between people who share a protected characteristic and those who do not. </w:t>
      </w:r>
    </w:p>
    <w:p w:rsidR="005170BE" w:rsidRDefault="00022EBB" w:rsidP="005170BE">
      <w:pPr>
        <w:ind w:left="1134" w:hanging="425"/>
      </w:pPr>
      <w:r w:rsidRPr="004022F6">
        <w:t xml:space="preserve">(c)   Foster good relations between people who share a protected characteristic and those who do not including tackling prejudice and promoting understanding. </w:t>
      </w:r>
      <w:r w:rsidR="005170BE">
        <w:br/>
      </w:r>
    </w:p>
    <w:p w:rsidR="005170BE" w:rsidRDefault="005170BE" w:rsidP="005170BE">
      <w:pPr>
        <w:ind w:left="567" w:hanging="567"/>
      </w:pPr>
      <w:r>
        <w:t>7.2</w:t>
      </w:r>
      <w:r>
        <w:tab/>
      </w:r>
      <w:r w:rsidR="00022EBB" w:rsidRPr="004022F6">
        <w:t>The protected characteristics are age, disability, gender reassignment, pregnancy and maternity, race, religion or belief,</w:t>
      </w:r>
      <w:r>
        <w:t xml:space="preserve"> gender and sexual orientation.</w:t>
      </w:r>
      <w:r>
        <w:br/>
      </w:r>
    </w:p>
    <w:p w:rsidR="00F23FF1" w:rsidRDefault="005170BE" w:rsidP="005170BE">
      <w:pPr>
        <w:ind w:left="567" w:hanging="567"/>
      </w:pPr>
      <w:r>
        <w:t>7.3</w:t>
      </w:r>
      <w:r>
        <w:tab/>
      </w:r>
      <w:r w:rsidR="00022EBB" w:rsidRPr="004022F6">
        <w:t>In the course of the development of the project business cases, the delivery of the project and their ongoing commitment to equality and diversity, the promoting local authority will ensure that any equality implications are considered as part of their decision making process and w</w:t>
      </w:r>
      <w:r>
        <w:t>h</w:t>
      </w:r>
      <w:r w:rsidR="00022EBB" w:rsidRPr="004022F6">
        <w:t>ere possible identify mitigating factors where an impact against any of the protected characteristics has been identified.</w:t>
      </w:r>
    </w:p>
    <w:p w:rsidR="00F23FF1" w:rsidRPr="008D3870" w:rsidRDefault="00F23FF1" w:rsidP="00931DDC">
      <w:pPr>
        <w:pStyle w:val="ListParagraph"/>
        <w:ind w:left="567" w:hanging="567"/>
      </w:pPr>
    </w:p>
    <w:p w:rsidR="003B4818" w:rsidRPr="003B4818" w:rsidRDefault="00DA6EEB" w:rsidP="00681DDD">
      <w:pPr>
        <w:pStyle w:val="ListParagraph"/>
        <w:numPr>
          <w:ilvl w:val="0"/>
          <w:numId w:val="1"/>
        </w:numPr>
        <w:ind w:left="567" w:hanging="567"/>
        <w:rPr>
          <w:i/>
        </w:rPr>
      </w:pPr>
      <w:r w:rsidRPr="008D3870">
        <w:rPr>
          <w:b/>
        </w:rPr>
        <w:t>List of appendices</w:t>
      </w:r>
      <w:r w:rsidR="003B4818">
        <w:rPr>
          <w:b/>
        </w:rPr>
        <w:br/>
      </w:r>
    </w:p>
    <w:p w:rsidR="00681DDD" w:rsidRPr="00D768C2" w:rsidRDefault="00DA6EEB" w:rsidP="003B4818">
      <w:pPr>
        <w:pStyle w:val="ListParagraph"/>
        <w:numPr>
          <w:ilvl w:val="1"/>
          <w:numId w:val="1"/>
        </w:numPr>
        <w:ind w:left="567" w:hanging="567"/>
        <w:rPr>
          <w:i/>
        </w:rPr>
      </w:pPr>
      <w:r w:rsidRPr="008D3870">
        <w:t xml:space="preserve"> </w:t>
      </w:r>
      <w:r w:rsidR="00D768C2">
        <w:t>Appendix 1 – Project Bid Document</w:t>
      </w:r>
    </w:p>
    <w:p w:rsidR="00D768C2" w:rsidRPr="00412727" w:rsidRDefault="00D768C2" w:rsidP="003B4818">
      <w:pPr>
        <w:pStyle w:val="ListParagraph"/>
        <w:numPr>
          <w:ilvl w:val="1"/>
          <w:numId w:val="1"/>
        </w:numPr>
        <w:ind w:left="567" w:hanging="567"/>
        <w:rPr>
          <w:i/>
        </w:rPr>
      </w:pPr>
      <w:r>
        <w:t>Appendix 2 – Independent Technical Review report</w:t>
      </w:r>
    </w:p>
    <w:p w:rsidR="00DA6EEB" w:rsidRPr="003B4818" w:rsidRDefault="00DA6EEB" w:rsidP="00931DDC">
      <w:pPr>
        <w:ind w:left="567"/>
      </w:pPr>
    </w:p>
    <w:p w:rsidR="00DA6EEB" w:rsidRDefault="00DA6EEB" w:rsidP="00931DDC">
      <w:pPr>
        <w:pStyle w:val="ListParagraph"/>
        <w:ind w:left="567" w:hanging="567"/>
      </w:pPr>
    </w:p>
    <w:p w:rsidR="00DA6EEB" w:rsidRDefault="00DA6EEB" w:rsidP="00931DDC">
      <w:pPr>
        <w:pStyle w:val="ListParagraph"/>
        <w:numPr>
          <w:ilvl w:val="0"/>
          <w:numId w:val="1"/>
        </w:numPr>
        <w:ind w:left="567" w:hanging="567"/>
        <w:rPr>
          <w:b/>
        </w:rPr>
      </w:pPr>
      <w:r w:rsidRPr="00DA6EEB">
        <w:rPr>
          <w:b/>
        </w:rPr>
        <w:t>List of Background papers</w:t>
      </w:r>
      <w:r w:rsidR="006E6315">
        <w:rPr>
          <w:b/>
        </w:rPr>
        <w:br/>
      </w:r>
    </w:p>
    <w:p w:rsidR="006E6315" w:rsidRPr="00644BD9" w:rsidRDefault="006E6315" w:rsidP="006E6315">
      <w:pPr>
        <w:pStyle w:val="ListParagraph"/>
        <w:numPr>
          <w:ilvl w:val="1"/>
          <w:numId w:val="1"/>
        </w:numPr>
        <w:ind w:left="567" w:hanging="567"/>
        <w:rPr>
          <w:b/>
        </w:rPr>
      </w:pPr>
      <w:r>
        <w:t>Sector Support Funding Guidance</w:t>
      </w:r>
    </w:p>
    <w:p w:rsidR="00644BD9" w:rsidRPr="002B5E94" w:rsidRDefault="00644BD9" w:rsidP="006E6315">
      <w:pPr>
        <w:pStyle w:val="ListParagraph"/>
        <w:numPr>
          <w:ilvl w:val="1"/>
          <w:numId w:val="1"/>
        </w:numPr>
        <w:ind w:left="567" w:hanging="567"/>
        <w:rPr>
          <w:b/>
        </w:rPr>
      </w:pPr>
      <w:r>
        <w:t>SELEP Assurance Framework</w:t>
      </w:r>
    </w:p>
    <w:p w:rsidR="002B5E94" w:rsidRPr="00DA6EEB" w:rsidRDefault="002B5E94" w:rsidP="006E6315">
      <w:pPr>
        <w:pStyle w:val="ListParagraph"/>
        <w:numPr>
          <w:ilvl w:val="1"/>
          <w:numId w:val="1"/>
        </w:numPr>
        <w:ind w:left="567" w:hanging="567"/>
        <w:rPr>
          <w:b/>
        </w:rPr>
      </w:pPr>
      <w:r>
        <w:t>Minutes of the Strategic Board Meeting 9 June 2017</w:t>
      </w:r>
    </w:p>
    <w:p w:rsidR="00931DDC" w:rsidRDefault="00931DDC" w:rsidP="00931DDC">
      <w:pPr>
        <w:ind w:left="567" w:hanging="567"/>
        <w:rPr>
          <w:i/>
        </w:rPr>
      </w:pPr>
    </w:p>
    <w:p w:rsidR="009D2C03" w:rsidRDefault="009D2C03" w:rsidP="00DA6EEB">
      <w:pPr>
        <w:autoSpaceDE w:val="0"/>
        <w:autoSpaceDN w:val="0"/>
        <w:adjustRightInd w:val="0"/>
        <w:rPr>
          <w:b/>
        </w:rPr>
      </w:pPr>
      <w:r>
        <w:rPr>
          <w:b/>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3"/>
        <w:gridCol w:w="1417"/>
      </w:tblGrid>
      <w:tr w:rsidR="009D2C03" w:rsidRPr="00036C95" w:rsidTr="009D2C03">
        <w:tc>
          <w:tcPr>
            <w:tcW w:w="7763" w:type="dxa"/>
            <w:shd w:val="clear" w:color="auto" w:fill="auto"/>
          </w:tcPr>
          <w:p w:rsidR="009D2C03" w:rsidRPr="00036C95" w:rsidRDefault="009D2C03" w:rsidP="00267CD6">
            <w:pPr>
              <w:overflowPunct w:val="0"/>
              <w:autoSpaceDE w:val="0"/>
              <w:autoSpaceDN w:val="0"/>
              <w:adjustRightInd w:val="0"/>
              <w:textAlignment w:val="baseline"/>
              <w:rPr>
                <w:rFonts w:eastAsia="Times New Roman"/>
                <w:b/>
              </w:rPr>
            </w:pPr>
            <w:r w:rsidRPr="00036C95">
              <w:rPr>
                <w:rFonts w:eastAsia="Times New Roman"/>
                <w:b/>
              </w:rPr>
              <w:t>Role</w:t>
            </w:r>
          </w:p>
        </w:tc>
        <w:tc>
          <w:tcPr>
            <w:tcW w:w="1417" w:type="dxa"/>
            <w:shd w:val="clear" w:color="auto" w:fill="auto"/>
          </w:tcPr>
          <w:p w:rsidR="009D2C03" w:rsidRPr="00036C95" w:rsidRDefault="009D2C03" w:rsidP="00267CD6">
            <w:pPr>
              <w:overflowPunct w:val="0"/>
              <w:autoSpaceDE w:val="0"/>
              <w:autoSpaceDN w:val="0"/>
              <w:adjustRightInd w:val="0"/>
              <w:textAlignment w:val="baseline"/>
              <w:rPr>
                <w:rFonts w:eastAsia="Times New Roman"/>
                <w:b/>
              </w:rPr>
            </w:pPr>
            <w:r w:rsidRPr="00036C95">
              <w:rPr>
                <w:rFonts w:eastAsia="Times New Roman"/>
                <w:b/>
              </w:rPr>
              <w:t>Date</w:t>
            </w:r>
          </w:p>
        </w:tc>
      </w:tr>
      <w:tr w:rsidR="009D2C03" w:rsidRPr="00036C95" w:rsidTr="009D2C03">
        <w:tc>
          <w:tcPr>
            <w:tcW w:w="7763" w:type="dxa"/>
            <w:shd w:val="clear" w:color="auto" w:fill="auto"/>
          </w:tcPr>
          <w:p w:rsidR="009D2C03" w:rsidRPr="00036C95" w:rsidRDefault="009D2C03" w:rsidP="00267CD6">
            <w:pPr>
              <w:overflowPunct w:val="0"/>
              <w:autoSpaceDE w:val="0"/>
              <w:autoSpaceDN w:val="0"/>
              <w:adjustRightInd w:val="0"/>
              <w:textAlignment w:val="baseline"/>
              <w:rPr>
                <w:rFonts w:eastAsia="Times New Roman"/>
                <w:b/>
              </w:rPr>
            </w:pPr>
            <w:r w:rsidRPr="00036C95">
              <w:rPr>
                <w:rFonts w:eastAsia="Times New Roman"/>
                <w:b/>
              </w:rPr>
              <w:t>Accountable Body sign off</w:t>
            </w:r>
          </w:p>
          <w:p w:rsidR="009D2C03" w:rsidRPr="00036C95" w:rsidRDefault="009D2C03" w:rsidP="00267CD6">
            <w:pPr>
              <w:overflowPunct w:val="0"/>
              <w:autoSpaceDE w:val="0"/>
              <w:autoSpaceDN w:val="0"/>
              <w:adjustRightInd w:val="0"/>
              <w:textAlignment w:val="baseline"/>
              <w:rPr>
                <w:rFonts w:eastAsia="Times New Roman"/>
              </w:rPr>
            </w:pPr>
          </w:p>
          <w:p w:rsidR="009D2C03" w:rsidRPr="00036C95" w:rsidRDefault="00A96444" w:rsidP="00267CD6">
            <w:pPr>
              <w:overflowPunct w:val="0"/>
              <w:autoSpaceDE w:val="0"/>
              <w:autoSpaceDN w:val="0"/>
              <w:adjustRightInd w:val="0"/>
              <w:textAlignment w:val="baseline"/>
              <w:rPr>
                <w:rFonts w:eastAsia="Times New Roman"/>
              </w:rPr>
            </w:pPr>
            <w:r>
              <w:rPr>
                <w:rFonts w:eastAsia="Times New Roman"/>
              </w:rPr>
              <w:t>Stephanie Mitchener</w:t>
            </w:r>
          </w:p>
          <w:p w:rsidR="009D2C03" w:rsidRPr="00036C95" w:rsidRDefault="009D2C03" w:rsidP="00267CD6">
            <w:pPr>
              <w:overflowPunct w:val="0"/>
              <w:autoSpaceDE w:val="0"/>
              <w:autoSpaceDN w:val="0"/>
              <w:adjustRightInd w:val="0"/>
              <w:textAlignment w:val="baseline"/>
              <w:rPr>
                <w:rFonts w:eastAsia="Times New Roman"/>
              </w:rPr>
            </w:pPr>
          </w:p>
          <w:p w:rsidR="009D2C03" w:rsidRPr="00036C95" w:rsidRDefault="009D2C03" w:rsidP="00267CD6">
            <w:pPr>
              <w:overflowPunct w:val="0"/>
              <w:autoSpaceDE w:val="0"/>
              <w:autoSpaceDN w:val="0"/>
              <w:adjustRightInd w:val="0"/>
              <w:textAlignment w:val="baseline"/>
              <w:rPr>
                <w:rFonts w:eastAsia="Times New Roman"/>
              </w:rPr>
            </w:pPr>
            <w:r w:rsidRPr="00036C95">
              <w:rPr>
                <w:rFonts w:eastAsia="Times New Roman"/>
              </w:rPr>
              <w:t xml:space="preserve"> (On behalf of Margaret Lee)</w:t>
            </w:r>
          </w:p>
        </w:tc>
        <w:tc>
          <w:tcPr>
            <w:tcW w:w="1417" w:type="dxa"/>
            <w:shd w:val="clear" w:color="auto" w:fill="auto"/>
          </w:tcPr>
          <w:p w:rsidR="009D2C03" w:rsidRPr="00036C95" w:rsidRDefault="009D2C03" w:rsidP="00267CD6">
            <w:pPr>
              <w:overflowPunct w:val="0"/>
              <w:autoSpaceDE w:val="0"/>
              <w:autoSpaceDN w:val="0"/>
              <w:adjustRightInd w:val="0"/>
              <w:textAlignment w:val="baseline"/>
              <w:rPr>
                <w:rFonts w:eastAsia="Times New Roman"/>
              </w:rPr>
            </w:pPr>
          </w:p>
          <w:p w:rsidR="009D2C03" w:rsidRPr="00036C95" w:rsidRDefault="009D2C03" w:rsidP="00267CD6">
            <w:pPr>
              <w:overflowPunct w:val="0"/>
              <w:autoSpaceDE w:val="0"/>
              <w:autoSpaceDN w:val="0"/>
              <w:adjustRightInd w:val="0"/>
              <w:textAlignment w:val="baseline"/>
              <w:rPr>
                <w:rFonts w:eastAsia="Times New Roman"/>
              </w:rPr>
            </w:pPr>
          </w:p>
          <w:p w:rsidR="009D2C03" w:rsidRPr="00036C95" w:rsidRDefault="00A96444" w:rsidP="00267CD6">
            <w:pPr>
              <w:overflowPunct w:val="0"/>
              <w:autoSpaceDE w:val="0"/>
              <w:autoSpaceDN w:val="0"/>
              <w:adjustRightInd w:val="0"/>
              <w:textAlignment w:val="baseline"/>
              <w:rPr>
                <w:rFonts w:eastAsia="Times New Roman"/>
              </w:rPr>
            </w:pPr>
            <w:r>
              <w:rPr>
                <w:rFonts w:eastAsia="Times New Roman"/>
              </w:rPr>
              <w:t>05/07/18</w:t>
            </w:r>
          </w:p>
          <w:p w:rsidR="009D2C03" w:rsidRPr="00036C95" w:rsidRDefault="009D2C03" w:rsidP="00267CD6">
            <w:pPr>
              <w:overflowPunct w:val="0"/>
              <w:autoSpaceDE w:val="0"/>
              <w:autoSpaceDN w:val="0"/>
              <w:adjustRightInd w:val="0"/>
              <w:textAlignment w:val="baseline"/>
              <w:rPr>
                <w:rFonts w:eastAsia="Times New Roman"/>
              </w:rPr>
            </w:pPr>
          </w:p>
        </w:tc>
      </w:tr>
    </w:tbl>
    <w:p w:rsidR="00DA6EEB" w:rsidRPr="00012E3E" w:rsidRDefault="009D2C03" w:rsidP="00DA6EEB">
      <w:pPr>
        <w:autoSpaceDE w:val="0"/>
        <w:autoSpaceDN w:val="0"/>
        <w:adjustRightInd w:val="0"/>
        <w:rPr>
          <w:b/>
        </w:rPr>
      </w:pPr>
      <w:r>
        <w:rPr>
          <w:b/>
        </w:rPr>
        <w:br/>
      </w:r>
    </w:p>
    <w:tbl>
      <w:tblPr>
        <w:tblStyle w:val="TableGrid"/>
        <w:tblW w:w="0" w:type="auto"/>
        <w:tblLook w:val="04A0" w:firstRow="1" w:lastRow="0" w:firstColumn="1" w:lastColumn="0" w:noHBand="0" w:noVBand="1"/>
      </w:tblPr>
      <w:tblGrid>
        <w:gridCol w:w="7763"/>
        <w:gridCol w:w="1417"/>
      </w:tblGrid>
      <w:tr w:rsidR="00DA6EEB" w:rsidRPr="00012E3E" w:rsidTr="00DA6EEB">
        <w:tc>
          <w:tcPr>
            <w:tcW w:w="7763" w:type="dxa"/>
          </w:tcPr>
          <w:p w:rsidR="00DA6EEB" w:rsidRDefault="0047127F" w:rsidP="0037481B">
            <w:pPr>
              <w:autoSpaceDE w:val="0"/>
              <w:autoSpaceDN w:val="0"/>
              <w:adjustRightInd w:val="0"/>
              <w:rPr>
                <w:rFonts w:ascii="Arial" w:hAnsi="Arial" w:cs="Arial"/>
                <w:b/>
                <w:sz w:val="24"/>
                <w:szCs w:val="24"/>
              </w:rPr>
            </w:pPr>
            <w:r>
              <w:rPr>
                <w:rFonts w:ascii="Arial" w:hAnsi="Arial" w:cs="Arial"/>
                <w:b/>
                <w:sz w:val="24"/>
                <w:szCs w:val="24"/>
              </w:rPr>
              <w:t>I approve the above recommendations set out above for the reasons set out in the report.</w:t>
            </w:r>
          </w:p>
          <w:p w:rsidR="0047127F" w:rsidRDefault="0047127F" w:rsidP="0037481B">
            <w:pPr>
              <w:autoSpaceDE w:val="0"/>
              <w:autoSpaceDN w:val="0"/>
              <w:adjustRightInd w:val="0"/>
              <w:rPr>
                <w:rFonts w:ascii="Arial" w:hAnsi="Arial" w:cs="Arial"/>
                <w:b/>
                <w:sz w:val="24"/>
                <w:szCs w:val="24"/>
              </w:rPr>
            </w:pPr>
          </w:p>
          <w:p w:rsidR="0047127F" w:rsidRPr="00012E3E" w:rsidRDefault="00EB751C" w:rsidP="0037481B">
            <w:pPr>
              <w:autoSpaceDE w:val="0"/>
              <w:autoSpaceDN w:val="0"/>
              <w:adjustRightInd w:val="0"/>
              <w:rPr>
                <w:rFonts w:ascii="Arial" w:hAnsi="Arial" w:cs="Arial"/>
                <w:b/>
                <w:sz w:val="24"/>
                <w:szCs w:val="24"/>
              </w:rPr>
            </w:pPr>
            <w:r>
              <w:rPr>
                <w:noProof/>
              </w:rPr>
              <w:drawing>
                <wp:inline distT="0" distB="0" distL="0" distR="0">
                  <wp:extent cx="1990725" cy="795439"/>
                  <wp:effectExtent l="0" t="0" r="0" b="5080"/>
                  <wp:docPr id="1" name="Picture 1" descr="\\Chesfs50\EUCHomedirs\Adam.Bryan\Desktop\adam s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esfs50\EUCHomedirs\Adam.Bryan\Desktop\adam sig.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90725" cy="795439"/>
                          </a:xfrm>
                          <a:prstGeom prst="rect">
                            <a:avLst/>
                          </a:prstGeom>
                          <a:noFill/>
                          <a:ln>
                            <a:noFill/>
                          </a:ln>
                        </pic:spPr>
                      </pic:pic>
                    </a:graphicData>
                  </a:graphic>
                </wp:inline>
              </w:drawing>
            </w:r>
          </w:p>
          <w:p w:rsidR="00DA6EEB" w:rsidRDefault="00681DDD" w:rsidP="0037481B">
            <w:pPr>
              <w:autoSpaceDE w:val="0"/>
              <w:autoSpaceDN w:val="0"/>
              <w:adjustRightInd w:val="0"/>
              <w:rPr>
                <w:rFonts w:ascii="Arial" w:hAnsi="Arial" w:cs="Arial"/>
                <w:b/>
                <w:sz w:val="24"/>
                <w:szCs w:val="24"/>
              </w:rPr>
            </w:pPr>
            <w:r>
              <w:rPr>
                <w:rFonts w:ascii="Arial" w:hAnsi="Arial" w:cs="Arial"/>
                <w:b/>
                <w:sz w:val="24"/>
                <w:szCs w:val="24"/>
              </w:rPr>
              <w:t>Adam Bryan</w:t>
            </w:r>
          </w:p>
          <w:p w:rsidR="00681DDD" w:rsidRPr="00012E3E" w:rsidRDefault="00681DDD" w:rsidP="0037481B">
            <w:pPr>
              <w:autoSpaceDE w:val="0"/>
              <w:autoSpaceDN w:val="0"/>
              <w:adjustRightInd w:val="0"/>
              <w:rPr>
                <w:rFonts w:ascii="Arial" w:hAnsi="Arial" w:cs="Arial"/>
                <w:b/>
                <w:sz w:val="24"/>
                <w:szCs w:val="24"/>
              </w:rPr>
            </w:pPr>
            <w:r>
              <w:rPr>
                <w:rFonts w:ascii="Arial" w:hAnsi="Arial" w:cs="Arial"/>
                <w:b/>
                <w:sz w:val="24"/>
                <w:szCs w:val="24"/>
              </w:rPr>
              <w:t xml:space="preserve">Managing Director for </w:t>
            </w:r>
            <w:r w:rsidR="003B4818">
              <w:rPr>
                <w:rFonts w:ascii="Arial" w:hAnsi="Arial" w:cs="Arial"/>
                <w:b/>
                <w:sz w:val="24"/>
                <w:szCs w:val="24"/>
              </w:rPr>
              <w:t>the South East Local Enterprise Partnership</w:t>
            </w:r>
          </w:p>
          <w:p w:rsidR="00DA6EEB" w:rsidRPr="00012E3E" w:rsidRDefault="00DA6EEB" w:rsidP="0037481B">
            <w:pPr>
              <w:autoSpaceDE w:val="0"/>
              <w:autoSpaceDN w:val="0"/>
              <w:adjustRightInd w:val="0"/>
              <w:rPr>
                <w:rFonts w:ascii="Arial" w:hAnsi="Arial" w:cs="Arial"/>
                <w:b/>
                <w:sz w:val="24"/>
                <w:szCs w:val="24"/>
              </w:rPr>
            </w:pPr>
          </w:p>
        </w:tc>
        <w:tc>
          <w:tcPr>
            <w:tcW w:w="1417" w:type="dxa"/>
          </w:tcPr>
          <w:p w:rsidR="00DA6EEB" w:rsidRDefault="00DA6EEB" w:rsidP="0037481B">
            <w:pPr>
              <w:autoSpaceDE w:val="0"/>
              <w:autoSpaceDN w:val="0"/>
              <w:adjustRightInd w:val="0"/>
              <w:rPr>
                <w:rFonts w:ascii="Arial" w:hAnsi="Arial" w:cs="Arial"/>
                <w:b/>
                <w:sz w:val="24"/>
                <w:szCs w:val="24"/>
              </w:rPr>
            </w:pPr>
            <w:r w:rsidRPr="00012E3E">
              <w:rPr>
                <w:rFonts w:ascii="Arial" w:hAnsi="Arial" w:cs="Arial"/>
                <w:b/>
                <w:sz w:val="24"/>
                <w:szCs w:val="24"/>
              </w:rPr>
              <w:lastRenderedPageBreak/>
              <w:t>Date</w:t>
            </w:r>
          </w:p>
          <w:p w:rsidR="00EB751C" w:rsidRDefault="00EB751C" w:rsidP="0037481B">
            <w:pPr>
              <w:autoSpaceDE w:val="0"/>
              <w:autoSpaceDN w:val="0"/>
              <w:adjustRightInd w:val="0"/>
              <w:rPr>
                <w:rFonts w:ascii="Arial" w:hAnsi="Arial" w:cs="Arial"/>
                <w:b/>
                <w:sz w:val="24"/>
                <w:szCs w:val="24"/>
              </w:rPr>
            </w:pPr>
          </w:p>
          <w:p w:rsidR="00EB751C" w:rsidRPr="00012E3E" w:rsidRDefault="00EB751C" w:rsidP="0037481B">
            <w:pPr>
              <w:autoSpaceDE w:val="0"/>
              <w:autoSpaceDN w:val="0"/>
              <w:adjustRightInd w:val="0"/>
              <w:rPr>
                <w:rFonts w:ascii="Arial" w:hAnsi="Arial" w:cs="Arial"/>
                <w:b/>
                <w:sz w:val="24"/>
                <w:szCs w:val="24"/>
              </w:rPr>
            </w:pPr>
            <w:r>
              <w:rPr>
                <w:rFonts w:ascii="Arial" w:hAnsi="Arial" w:cs="Arial"/>
                <w:b/>
                <w:sz w:val="24"/>
                <w:szCs w:val="24"/>
              </w:rPr>
              <w:lastRenderedPageBreak/>
              <w:t>5</w:t>
            </w:r>
            <w:r w:rsidRPr="00EB751C">
              <w:rPr>
                <w:rFonts w:ascii="Arial" w:hAnsi="Arial" w:cs="Arial"/>
                <w:b/>
                <w:sz w:val="24"/>
                <w:szCs w:val="24"/>
                <w:vertAlign w:val="superscript"/>
              </w:rPr>
              <w:t>th</w:t>
            </w:r>
            <w:r>
              <w:rPr>
                <w:rFonts w:ascii="Arial" w:hAnsi="Arial" w:cs="Arial"/>
                <w:b/>
                <w:sz w:val="24"/>
                <w:szCs w:val="24"/>
              </w:rPr>
              <w:t xml:space="preserve"> July 2018</w:t>
            </w:r>
          </w:p>
        </w:tc>
      </w:tr>
    </w:tbl>
    <w:p w:rsidR="00DA6EEB" w:rsidRPr="00012E3E" w:rsidRDefault="00DA6EEB" w:rsidP="00681DDD">
      <w:pPr>
        <w:autoSpaceDE w:val="0"/>
        <w:autoSpaceDN w:val="0"/>
        <w:adjustRightInd w:val="0"/>
        <w:rPr>
          <w:b/>
        </w:rPr>
      </w:pPr>
    </w:p>
    <w:sectPr w:rsidR="00DA6EEB" w:rsidRPr="00012E3E">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382A" w:rsidRDefault="0031382A" w:rsidP="00DA6EEB">
      <w:r>
        <w:separator/>
      </w:r>
    </w:p>
  </w:endnote>
  <w:endnote w:type="continuationSeparator" w:id="0">
    <w:p w:rsidR="0031382A" w:rsidRDefault="0031382A" w:rsidP="00DA6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81F" w:rsidRDefault="00C2381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2480763"/>
      <w:docPartObj>
        <w:docPartGallery w:val="Page Numbers (Bottom of Page)"/>
        <w:docPartUnique/>
      </w:docPartObj>
    </w:sdtPr>
    <w:sdtEndPr>
      <w:rPr>
        <w:noProof/>
      </w:rPr>
    </w:sdtEndPr>
    <w:sdtContent>
      <w:p w:rsidR="00DA6EEB" w:rsidRDefault="00DA6EEB">
        <w:pPr>
          <w:pStyle w:val="Footer"/>
          <w:jc w:val="right"/>
        </w:pPr>
        <w:r>
          <w:fldChar w:fldCharType="begin"/>
        </w:r>
        <w:r>
          <w:instrText xml:space="preserve"> PAGE   \* MERGEFORMAT </w:instrText>
        </w:r>
        <w:r>
          <w:fldChar w:fldCharType="separate"/>
        </w:r>
        <w:r w:rsidR="00346C10">
          <w:rPr>
            <w:noProof/>
          </w:rPr>
          <w:t>2</w:t>
        </w:r>
        <w:r>
          <w:rPr>
            <w:noProof/>
          </w:rPr>
          <w:fldChar w:fldCharType="end"/>
        </w:r>
      </w:p>
    </w:sdtContent>
  </w:sdt>
  <w:p w:rsidR="00DA6EEB" w:rsidRDefault="00DA6EE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81F" w:rsidRDefault="00C2381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382A" w:rsidRDefault="0031382A" w:rsidP="00DA6EEB">
      <w:r>
        <w:separator/>
      </w:r>
    </w:p>
  </w:footnote>
  <w:footnote w:type="continuationSeparator" w:id="0">
    <w:p w:rsidR="0031382A" w:rsidRDefault="0031382A" w:rsidP="00DA6E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81F" w:rsidRDefault="00C2381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3109" w:rsidRDefault="009D3109">
    <w:pPr>
      <w:pStyle w:val="Header"/>
      <w:rPr>
        <w:i/>
      </w:rPr>
    </w:pPr>
  </w:p>
  <w:p w:rsidR="009D3109" w:rsidRPr="009D3109" w:rsidRDefault="009D3109">
    <w:pPr>
      <w:pStyle w:val="Header"/>
      <w:rPr>
        <w:i/>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81F" w:rsidRDefault="00C2381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502D1"/>
    <w:multiLevelType w:val="multilevel"/>
    <w:tmpl w:val="1AC4262C"/>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nsid w:val="1CD67F88"/>
    <w:multiLevelType w:val="hybridMultilevel"/>
    <w:tmpl w:val="8FBA7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2D0F31"/>
    <w:multiLevelType w:val="hybridMultilevel"/>
    <w:tmpl w:val="9D98501E"/>
    <w:lvl w:ilvl="0" w:tplc="08090013">
      <w:start w:val="1"/>
      <w:numFmt w:val="upperRoman"/>
      <w:lvlText w:val="%1."/>
      <w:lvlJc w:val="right"/>
      <w:pPr>
        <w:ind w:left="1713" w:hanging="360"/>
      </w:pPr>
    </w:lvl>
    <w:lvl w:ilvl="1" w:tplc="08090019">
      <w:start w:val="1"/>
      <w:numFmt w:val="lowerLetter"/>
      <w:lvlText w:val="%2."/>
      <w:lvlJc w:val="left"/>
      <w:pPr>
        <w:ind w:left="2433" w:hanging="360"/>
      </w:pPr>
    </w:lvl>
    <w:lvl w:ilvl="2" w:tplc="0809001B">
      <w:start w:val="1"/>
      <w:numFmt w:val="lowerRoman"/>
      <w:lvlText w:val="%3."/>
      <w:lvlJc w:val="right"/>
      <w:pPr>
        <w:ind w:left="3153" w:hanging="180"/>
      </w:pPr>
    </w:lvl>
    <w:lvl w:ilvl="3" w:tplc="1BCA8D30">
      <w:start w:val="1"/>
      <w:numFmt w:val="lowerLetter"/>
      <w:lvlText w:val="(%4)"/>
      <w:lvlJc w:val="right"/>
      <w:pPr>
        <w:ind w:left="3873" w:hanging="360"/>
      </w:pPr>
      <w:rPr>
        <w:rFonts w:ascii="Arial" w:eastAsia="Times New Roman" w:hAnsi="Arial" w:cs="Arial"/>
      </w:rPr>
    </w:lvl>
    <w:lvl w:ilvl="4" w:tplc="1DE07F68">
      <w:start w:val="1"/>
      <w:numFmt w:val="decimal"/>
      <w:lvlText w:val="(%5)"/>
      <w:lvlJc w:val="left"/>
      <w:pPr>
        <w:ind w:left="4953" w:hanging="720"/>
      </w:pPr>
      <w:rPr>
        <w:rFonts w:hint="default"/>
      </w:rPr>
    </w:lvl>
    <w:lvl w:ilvl="5" w:tplc="0809001B" w:tentative="1">
      <w:start w:val="1"/>
      <w:numFmt w:val="lowerRoman"/>
      <w:lvlText w:val="%6."/>
      <w:lvlJc w:val="right"/>
      <w:pPr>
        <w:ind w:left="5313" w:hanging="180"/>
      </w:pPr>
    </w:lvl>
    <w:lvl w:ilvl="6" w:tplc="0809000F" w:tentative="1">
      <w:start w:val="1"/>
      <w:numFmt w:val="decimal"/>
      <w:lvlText w:val="%7."/>
      <w:lvlJc w:val="left"/>
      <w:pPr>
        <w:ind w:left="6033" w:hanging="360"/>
      </w:pPr>
    </w:lvl>
    <w:lvl w:ilvl="7" w:tplc="08090019" w:tentative="1">
      <w:start w:val="1"/>
      <w:numFmt w:val="lowerLetter"/>
      <w:lvlText w:val="%8."/>
      <w:lvlJc w:val="left"/>
      <w:pPr>
        <w:ind w:left="6753" w:hanging="360"/>
      </w:pPr>
    </w:lvl>
    <w:lvl w:ilvl="8" w:tplc="0809001B" w:tentative="1">
      <w:start w:val="1"/>
      <w:numFmt w:val="lowerRoman"/>
      <w:lvlText w:val="%9."/>
      <w:lvlJc w:val="right"/>
      <w:pPr>
        <w:ind w:left="7473" w:hanging="180"/>
      </w:pPr>
    </w:lvl>
  </w:abstractNum>
  <w:abstractNum w:abstractNumId="3">
    <w:nsid w:val="22F41DF4"/>
    <w:multiLevelType w:val="multilevel"/>
    <w:tmpl w:val="24EE1174"/>
    <w:lvl w:ilvl="0">
      <w:start w:val="1"/>
      <w:numFmt w:val="decimal"/>
      <w:lvlText w:val="%1."/>
      <w:lvlJc w:val="left"/>
      <w:pPr>
        <w:ind w:left="360" w:hanging="360"/>
      </w:pPr>
      <w:rPr>
        <w:b/>
        <w:color w:val="000000" w:themeColor="text1"/>
      </w:rPr>
    </w:lvl>
    <w:lvl w:ilvl="1">
      <w:start w:val="1"/>
      <w:numFmt w:val="decimal"/>
      <w:isLgl/>
      <w:lvlText w:val="%1.%2"/>
      <w:lvlJc w:val="left"/>
      <w:pPr>
        <w:ind w:left="360" w:hanging="360"/>
      </w:pPr>
      <w:rPr>
        <w:rFonts w:ascii="Arial" w:hAnsi="Arial" w:cs="Arial" w:hint="default"/>
        <w:b w:val="0"/>
        <w:color w:val="000000" w:themeColor="text1"/>
        <w:sz w:val="24"/>
        <w:szCs w:val="24"/>
      </w:rPr>
    </w:lvl>
    <w:lvl w:ilvl="2">
      <w:start w:val="1"/>
      <w:numFmt w:val="decimal"/>
      <w:isLgl/>
      <w:lvlText w:val="%1.%2.%3"/>
      <w:lvlJc w:val="left"/>
      <w:pPr>
        <w:ind w:left="1800" w:hanging="720"/>
      </w:pPr>
      <w:rPr>
        <w:rFonts w:hint="default"/>
        <w:b w:val="0"/>
        <w:color w:val="000000" w:themeColor="text1"/>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
    <w:nsid w:val="392451AE"/>
    <w:multiLevelType w:val="hybridMultilevel"/>
    <w:tmpl w:val="AB520EEC"/>
    <w:lvl w:ilvl="0" w:tplc="EA72D8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EA33684"/>
    <w:multiLevelType w:val="multilevel"/>
    <w:tmpl w:val="C3981882"/>
    <w:lvl w:ilvl="0">
      <w:start w:val="1"/>
      <w:numFmt w:val="decimal"/>
      <w:lvlText w:val="%1."/>
      <w:lvlJc w:val="left"/>
      <w:pPr>
        <w:ind w:left="360" w:hanging="360"/>
      </w:pPr>
      <w:rPr>
        <w:b/>
        <w:i w:val="0"/>
      </w:rPr>
    </w:lvl>
    <w:lvl w:ilvl="1">
      <w:start w:val="1"/>
      <w:numFmt w:val="decimal"/>
      <w:lvlText w:val="%1.%2."/>
      <w:lvlJc w:val="left"/>
      <w:pPr>
        <w:ind w:left="792" w:hanging="432"/>
      </w:pPr>
      <w:rPr>
        <w:b w:val="0"/>
        <w:i w:val="0"/>
      </w:rPr>
    </w:lvl>
    <w:lvl w:ilvl="2">
      <w:start w:val="1"/>
      <w:numFmt w:val="decimal"/>
      <w:lvlText w:val="%1.%2.%3."/>
      <w:lvlJc w:val="left"/>
      <w:pPr>
        <w:ind w:left="1224" w:hanging="504"/>
      </w:pPr>
      <w:rPr>
        <w:b w:val="0"/>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34E3919"/>
    <w:multiLevelType w:val="hybridMultilevel"/>
    <w:tmpl w:val="CE2ACE8A"/>
    <w:lvl w:ilvl="0" w:tplc="5E5A270E">
      <w:start w:val="1"/>
      <w:numFmt w:val="lowerRoman"/>
      <w:lvlText w:val="%1)"/>
      <w:lvlJc w:val="left"/>
      <w:pPr>
        <w:ind w:left="1944" w:hanging="720"/>
      </w:pPr>
      <w:rPr>
        <w:rFonts w:hint="default"/>
      </w:rPr>
    </w:lvl>
    <w:lvl w:ilvl="1" w:tplc="08090019" w:tentative="1">
      <w:start w:val="1"/>
      <w:numFmt w:val="lowerLetter"/>
      <w:lvlText w:val="%2."/>
      <w:lvlJc w:val="left"/>
      <w:pPr>
        <w:ind w:left="2304" w:hanging="360"/>
      </w:pPr>
    </w:lvl>
    <w:lvl w:ilvl="2" w:tplc="0809001B" w:tentative="1">
      <w:start w:val="1"/>
      <w:numFmt w:val="lowerRoman"/>
      <w:lvlText w:val="%3."/>
      <w:lvlJc w:val="right"/>
      <w:pPr>
        <w:ind w:left="3024" w:hanging="180"/>
      </w:pPr>
    </w:lvl>
    <w:lvl w:ilvl="3" w:tplc="0809000F" w:tentative="1">
      <w:start w:val="1"/>
      <w:numFmt w:val="decimal"/>
      <w:lvlText w:val="%4."/>
      <w:lvlJc w:val="left"/>
      <w:pPr>
        <w:ind w:left="3744" w:hanging="360"/>
      </w:pPr>
    </w:lvl>
    <w:lvl w:ilvl="4" w:tplc="08090019" w:tentative="1">
      <w:start w:val="1"/>
      <w:numFmt w:val="lowerLetter"/>
      <w:lvlText w:val="%5."/>
      <w:lvlJc w:val="left"/>
      <w:pPr>
        <w:ind w:left="4464" w:hanging="360"/>
      </w:pPr>
    </w:lvl>
    <w:lvl w:ilvl="5" w:tplc="0809001B" w:tentative="1">
      <w:start w:val="1"/>
      <w:numFmt w:val="lowerRoman"/>
      <w:lvlText w:val="%6."/>
      <w:lvlJc w:val="right"/>
      <w:pPr>
        <w:ind w:left="5184" w:hanging="180"/>
      </w:pPr>
    </w:lvl>
    <w:lvl w:ilvl="6" w:tplc="0809000F" w:tentative="1">
      <w:start w:val="1"/>
      <w:numFmt w:val="decimal"/>
      <w:lvlText w:val="%7."/>
      <w:lvlJc w:val="left"/>
      <w:pPr>
        <w:ind w:left="5904" w:hanging="360"/>
      </w:pPr>
    </w:lvl>
    <w:lvl w:ilvl="7" w:tplc="08090019" w:tentative="1">
      <w:start w:val="1"/>
      <w:numFmt w:val="lowerLetter"/>
      <w:lvlText w:val="%8."/>
      <w:lvlJc w:val="left"/>
      <w:pPr>
        <w:ind w:left="6624" w:hanging="360"/>
      </w:pPr>
    </w:lvl>
    <w:lvl w:ilvl="8" w:tplc="0809001B" w:tentative="1">
      <w:start w:val="1"/>
      <w:numFmt w:val="lowerRoman"/>
      <w:lvlText w:val="%9."/>
      <w:lvlJc w:val="right"/>
      <w:pPr>
        <w:ind w:left="7344" w:hanging="180"/>
      </w:pPr>
    </w:lvl>
  </w:abstractNum>
  <w:abstractNum w:abstractNumId="7">
    <w:nsid w:val="448031FB"/>
    <w:multiLevelType w:val="hybridMultilevel"/>
    <w:tmpl w:val="4CCC98E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nsid w:val="58601D2F"/>
    <w:multiLevelType w:val="multilevel"/>
    <w:tmpl w:val="8ECA479E"/>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nsid w:val="6E3B1FF8"/>
    <w:multiLevelType w:val="hybridMultilevel"/>
    <w:tmpl w:val="54B8761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71DA02EA"/>
    <w:multiLevelType w:val="multilevel"/>
    <w:tmpl w:val="1FE4ECE4"/>
    <w:lvl w:ilvl="0">
      <w:start w:val="1"/>
      <w:numFmt w:val="decimal"/>
      <w:pStyle w:val="Heading1"/>
      <w:lvlText w:val="%1."/>
      <w:lvlJc w:val="left"/>
      <w:pPr>
        <w:ind w:left="709" w:hanging="567"/>
      </w:pPr>
      <w:rPr>
        <w:rFonts w:ascii="Arial" w:hAnsi="Arial" w:cs="Arial" w:hint="default"/>
        <w:b/>
        <w:color w:val="auto"/>
      </w:rPr>
    </w:lvl>
    <w:lvl w:ilvl="1">
      <w:start w:val="1"/>
      <w:numFmt w:val="decimal"/>
      <w:isLgl/>
      <w:lvlText w:val="%1.%2"/>
      <w:lvlJc w:val="left"/>
      <w:pPr>
        <w:ind w:left="397" w:hanging="397"/>
      </w:pPr>
      <w:rPr>
        <w:rFonts w:ascii="Arial" w:hAnsi="Arial" w:cs="Arial" w:hint="default"/>
        <w:b w:val="0"/>
        <w:i w:val="0"/>
        <w:color w:val="000000" w:themeColor="text1"/>
      </w:rPr>
    </w:lvl>
    <w:lvl w:ilvl="2">
      <w:start w:val="1"/>
      <w:numFmt w:val="decimal"/>
      <w:isLgl/>
      <w:lvlText w:val="%1.%2.%3"/>
      <w:lvlJc w:val="left"/>
      <w:pPr>
        <w:ind w:left="938" w:hanging="796"/>
      </w:pPr>
      <w:rPr>
        <w:rFonts w:hint="default"/>
        <w:b w:val="0"/>
        <w:color w:val="000000" w:themeColor="text1"/>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5"/>
  </w:num>
  <w:num w:numId="2">
    <w:abstractNumId w:val="8"/>
  </w:num>
  <w:num w:numId="3">
    <w:abstractNumId w:val="1"/>
  </w:num>
  <w:num w:numId="4">
    <w:abstractNumId w:val="10"/>
  </w:num>
  <w:num w:numId="5">
    <w:abstractNumId w:val="3"/>
  </w:num>
  <w:num w:numId="6">
    <w:abstractNumId w:val="0"/>
  </w:num>
  <w:num w:numId="7">
    <w:abstractNumId w:val="2"/>
  </w:num>
  <w:num w:numId="8">
    <w:abstractNumId w:val="9"/>
  </w:num>
  <w:num w:numId="9">
    <w:abstractNumId w:val="7"/>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EEB"/>
    <w:rsid w:val="00003E2C"/>
    <w:rsid w:val="00022EBB"/>
    <w:rsid w:val="000335A0"/>
    <w:rsid w:val="00071A61"/>
    <w:rsid w:val="0009218B"/>
    <w:rsid w:val="000A0DAC"/>
    <w:rsid w:val="000B095A"/>
    <w:rsid w:val="000B1076"/>
    <w:rsid w:val="000F44CC"/>
    <w:rsid w:val="00126C9E"/>
    <w:rsid w:val="0014637F"/>
    <w:rsid w:val="00161454"/>
    <w:rsid w:val="001922F7"/>
    <w:rsid w:val="001B661D"/>
    <w:rsid w:val="00244797"/>
    <w:rsid w:val="002655A4"/>
    <w:rsid w:val="00265658"/>
    <w:rsid w:val="00280FD9"/>
    <w:rsid w:val="00281C15"/>
    <w:rsid w:val="002B5E94"/>
    <w:rsid w:val="002C3F97"/>
    <w:rsid w:val="002D500A"/>
    <w:rsid w:val="003076C4"/>
    <w:rsid w:val="0031382A"/>
    <w:rsid w:val="00332D07"/>
    <w:rsid w:val="00346C10"/>
    <w:rsid w:val="003B4818"/>
    <w:rsid w:val="003C10C9"/>
    <w:rsid w:val="00401C7B"/>
    <w:rsid w:val="00412727"/>
    <w:rsid w:val="004133CF"/>
    <w:rsid w:val="00425CAE"/>
    <w:rsid w:val="00446813"/>
    <w:rsid w:val="00450AAE"/>
    <w:rsid w:val="00462078"/>
    <w:rsid w:val="00463494"/>
    <w:rsid w:val="0047127F"/>
    <w:rsid w:val="00483FF0"/>
    <w:rsid w:val="00484828"/>
    <w:rsid w:val="004B143B"/>
    <w:rsid w:val="005104E4"/>
    <w:rsid w:val="0051255D"/>
    <w:rsid w:val="005170BE"/>
    <w:rsid w:val="00525011"/>
    <w:rsid w:val="00525D55"/>
    <w:rsid w:val="00530185"/>
    <w:rsid w:val="00571B86"/>
    <w:rsid w:val="005720A7"/>
    <w:rsid w:val="00597424"/>
    <w:rsid w:val="006121B1"/>
    <w:rsid w:val="006276B5"/>
    <w:rsid w:val="00633023"/>
    <w:rsid w:val="00636D1E"/>
    <w:rsid w:val="00644BD9"/>
    <w:rsid w:val="0065599E"/>
    <w:rsid w:val="006737B8"/>
    <w:rsid w:val="00681DDD"/>
    <w:rsid w:val="006E6315"/>
    <w:rsid w:val="006F490D"/>
    <w:rsid w:val="007401A6"/>
    <w:rsid w:val="00756FE1"/>
    <w:rsid w:val="007C6567"/>
    <w:rsid w:val="007D5E7C"/>
    <w:rsid w:val="008263F4"/>
    <w:rsid w:val="008D3870"/>
    <w:rsid w:val="008D67D8"/>
    <w:rsid w:val="008F4CCD"/>
    <w:rsid w:val="00910B26"/>
    <w:rsid w:val="00914903"/>
    <w:rsid w:val="00931DDC"/>
    <w:rsid w:val="00946ECA"/>
    <w:rsid w:val="0096204E"/>
    <w:rsid w:val="00987370"/>
    <w:rsid w:val="00990558"/>
    <w:rsid w:val="009D2C03"/>
    <w:rsid w:val="009D3109"/>
    <w:rsid w:val="00A27674"/>
    <w:rsid w:val="00A54E31"/>
    <w:rsid w:val="00A6536D"/>
    <w:rsid w:val="00A77658"/>
    <w:rsid w:val="00A8454D"/>
    <w:rsid w:val="00A9454E"/>
    <w:rsid w:val="00A96444"/>
    <w:rsid w:val="00B02FA6"/>
    <w:rsid w:val="00B26D49"/>
    <w:rsid w:val="00B3058A"/>
    <w:rsid w:val="00B5194B"/>
    <w:rsid w:val="00B56521"/>
    <w:rsid w:val="00BD71EF"/>
    <w:rsid w:val="00C2381F"/>
    <w:rsid w:val="00C3063D"/>
    <w:rsid w:val="00C835F2"/>
    <w:rsid w:val="00CA6BA8"/>
    <w:rsid w:val="00CC48D5"/>
    <w:rsid w:val="00D26629"/>
    <w:rsid w:val="00D768C2"/>
    <w:rsid w:val="00DA6EEB"/>
    <w:rsid w:val="00E0484F"/>
    <w:rsid w:val="00E102A1"/>
    <w:rsid w:val="00E207E6"/>
    <w:rsid w:val="00E32A88"/>
    <w:rsid w:val="00E54ADF"/>
    <w:rsid w:val="00E901E0"/>
    <w:rsid w:val="00EA2A88"/>
    <w:rsid w:val="00EB2241"/>
    <w:rsid w:val="00EB609B"/>
    <w:rsid w:val="00EB751C"/>
    <w:rsid w:val="00ED0CB0"/>
    <w:rsid w:val="00F23FF1"/>
    <w:rsid w:val="00F76FF9"/>
    <w:rsid w:val="00F97ECE"/>
    <w:rsid w:val="00FB4769"/>
    <w:rsid w:val="00FB7F66"/>
    <w:rsid w:val="00FD3B72"/>
    <w:rsid w:val="00FE50DE"/>
    <w:rsid w:val="00FF7A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022EBB"/>
    <w:pPr>
      <w:keepNext/>
      <w:keepLines/>
      <w:numPr>
        <w:numId w:val="4"/>
      </w:numPr>
      <w:overflowPunct w:val="0"/>
      <w:autoSpaceDE w:val="0"/>
      <w:autoSpaceDN w:val="0"/>
      <w:adjustRightInd w:val="0"/>
      <w:spacing w:before="480"/>
      <w:textAlignment w:val="baseline"/>
      <w:outlineLvl w:val="0"/>
    </w:pPr>
    <w:rPr>
      <w:rFonts w:asciiTheme="minorHAnsi" w:eastAsiaTheme="majorEastAsia" w:hAnsiTheme="minorHAnsi" w:cstheme="majorBidi"/>
      <w:b/>
      <w:bCs/>
      <w:szCs w:val="28"/>
      <w:lang w:eastAsia="en-GB"/>
    </w:rPr>
  </w:style>
  <w:style w:type="paragraph" w:styleId="Heading2">
    <w:name w:val="heading 2"/>
    <w:basedOn w:val="Normal"/>
    <w:next w:val="Normal"/>
    <w:link w:val="Heading2Char"/>
    <w:uiPriority w:val="9"/>
    <w:semiHidden/>
    <w:unhideWhenUsed/>
    <w:qFormat/>
    <w:rsid w:val="00A8454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A6EEB"/>
    <w:rPr>
      <w:rFonts w:ascii="Times" w:eastAsia="Times" w:hAnsi="Times"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Points,F5 List Paragraph,List Paragraph1,List Paragraph11"/>
    <w:basedOn w:val="Normal"/>
    <w:link w:val="ListParagraphChar"/>
    <w:uiPriority w:val="99"/>
    <w:qFormat/>
    <w:rsid w:val="00DA6EEB"/>
    <w:pPr>
      <w:ind w:left="720"/>
      <w:contextualSpacing/>
    </w:pPr>
  </w:style>
  <w:style w:type="character" w:styleId="Hyperlink">
    <w:name w:val="Hyperlink"/>
    <w:basedOn w:val="DefaultParagraphFont"/>
    <w:uiPriority w:val="99"/>
    <w:unhideWhenUsed/>
    <w:rsid w:val="00DA6EEB"/>
    <w:rPr>
      <w:color w:val="0000FF" w:themeColor="hyperlink"/>
      <w:u w:val="single"/>
    </w:rPr>
  </w:style>
  <w:style w:type="paragraph" w:styleId="Header">
    <w:name w:val="header"/>
    <w:basedOn w:val="Normal"/>
    <w:link w:val="HeaderChar"/>
    <w:uiPriority w:val="99"/>
    <w:unhideWhenUsed/>
    <w:rsid w:val="00DA6EEB"/>
    <w:pPr>
      <w:tabs>
        <w:tab w:val="center" w:pos="4513"/>
        <w:tab w:val="right" w:pos="9026"/>
      </w:tabs>
    </w:pPr>
  </w:style>
  <w:style w:type="character" w:customStyle="1" w:styleId="HeaderChar">
    <w:name w:val="Header Char"/>
    <w:basedOn w:val="DefaultParagraphFont"/>
    <w:link w:val="Header"/>
    <w:uiPriority w:val="99"/>
    <w:rsid w:val="00DA6EEB"/>
  </w:style>
  <w:style w:type="paragraph" w:styleId="Footer">
    <w:name w:val="footer"/>
    <w:basedOn w:val="Normal"/>
    <w:link w:val="FooterChar"/>
    <w:uiPriority w:val="99"/>
    <w:unhideWhenUsed/>
    <w:rsid w:val="00DA6EEB"/>
    <w:pPr>
      <w:tabs>
        <w:tab w:val="center" w:pos="4513"/>
        <w:tab w:val="right" w:pos="9026"/>
      </w:tabs>
    </w:pPr>
  </w:style>
  <w:style w:type="character" w:customStyle="1" w:styleId="FooterChar">
    <w:name w:val="Footer Char"/>
    <w:basedOn w:val="DefaultParagraphFont"/>
    <w:link w:val="Footer"/>
    <w:uiPriority w:val="99"/>
    <w:rsid w:val="00DA6EEB"/>
  </w:style>
  <w:style w:type="character" w:styleId="CommentReference">
    <w:name w:val="annotation reference"/>
    <w:basedOn w:val="DefaultParagraphFont"/>
    <w:uiPriority w:val="99"/>
    <w:semiHidden/>
    <w:unhideWhenUsed/>
    <w:rsid w:val="00571B86"/>
    <w:rPr>
      <w:sz w:val="16"/>
      <w:szCs w:val="16"/>
    </w:rPr>
  </w:style>
  <w:style w:type="paragraph" w:styleId="CommentText">
    <w:name w:val="annotation text"/>
    <w:basedOn w:val="Normal"/>
    <w:link w:val="CommentTextChar"/>
    <w:uiPriority w:val="99"/>
    <w:semiHidden/>
    <w:unhideWhenUsed/>
    <w:rsid w:val="00571B86"/>
    <w:rPr>
      <w:sz w:val="20"/>
      <w:szCs w:val="20"/>
    </w:rPr>
  </w:style>
  <w:style w:type="character" w:customStyle="1" w:styleId="CommentTextChar">
    <w:name w:val="Comment Text Char"/>
    <w:basedOn w:val="DefaultParagraphFont"/>
    <w:link w:val="CommentText"/>
    <w:uiPriority w:val="99"/>
    <w:semiHidden/>
    <w:rsid w:val="00571B86"/>
    <w:rPr>
      <w:sz w:val="20"/>
      <w:szCs w:val="20"/>
    </w:rPr>
  </w:style>
  <w:style w:type="paragraph" w:styleId="CommentSubject">
    <w:name w:val="annotation subject"/>
    <w:basedOn w:val="CommentText"/>
    <w:next w:val="CommentText"/>
    <w:link w:val="CommentSubjectChar"/>
    <w:uiPriority w:val="99"/>
    <w:semiHidden/>
    <w:unhideWhenUsed/>
    <w:rsid w:val="00571B86"/>
    <w:rPr>
      <w:b/>
      <w:bCs/>
    </w:rPr>
  </w:style>
  <w:style w:type="character" w:customStyle="1" w:styleId="CommentSubjectChar">
    <w:name w:val="Comment Subject Char"/>
    <w:basedOn w:val="CommentTextChar"/>
    <w:link w:val="CommentSubject"/>
    <w:uiPriority w:val="99"/>
    <w:semiHidden/>
    <w:rsid w:val="00571B86"/>
    <w:rPr>
      <w:b/>
      <w:bCs/>
      <w:sz w:val="20"/>
      <w:szCs w:val="20"/>
    </w:rPr>
  </w:style>
  <w:style w:type="paragraph" w:styleId="BalloonText">
    <w:name w:val="Balloon Text"/>
    <w:basedOn w:val="Normal"/>
    <w:link w:val="BalloonTextChar"/>
    <w:uiPriority w:val="99"/>
    <w:semiHidden/>
    <w:unhideWhenUsed/>
    <w:rsid w:val="00571B86"/>
    <w:rPr>
      <w:rFonts w:ascii="Tahoma" w:hAnsi="Tahoma" w:cs="Tahoma"/>
      <w:sz w:val="16"/>
      <w:szCs w:val="16"/>
    </w:rPr>
  </w:style>
  <w:style w:type="character" w:customStyle="1" w:styleId="BalloonTextChar">
    <w:name w:val="Balloon Text Char"/>
    <w:basedOn w:val="DefaultParagraphFont"/>
    <w:link w:val="BalloonText"/>
    <w:uiPriority w:val="99"/>
    <w:semiHidden/>
    <w:rsid w:val="00571B86"/>
    <w:rPr>
      <w:rFonts w:ascii="Tahoma" w:hAnsi="Tahoma" w:cs="Tahoma"/>
      <w:sz w:val="16"/>
      <w:szCs w:val="16"/>
    </w:rPr>
  </w:style>
  <w:style w:type="paragraph" w:customStyle="1" w:styleId="TextR">
    <w:name w:val="TextR"/>
    <w:basedOn w:val="Normal"/>
    <w:rsid w:val="00931DDC"/>
    <w:pPr>
      <w:overflowPunct w:val="0"/>
      <w:autoSpaceDE w:val="0"/>
      <w:autoSpaceDN w:val="0"/>
      <w:adjustRightInd w:val="0"/>
      <w:textAlignment w:val="baseline"/>
    </w:pPr>
    <w:rPr>
      <w:rFonts w:eastAsia="Times New Roman" w:cs="Times New Roman"/>
      <w:szCs w:val="20"/>
      <w:lang w:eastAsia="en-GB"/>
    </w:rPr>
  </w:style>
  <w:style w:type="character" w:customStyle="1" w:styleId="Heading1Char">
    <w:name w:val="Heading 1 Char"/>
    <w:basedOn w:val="DefaultParagraphFont"/>
    <w:link w:val="Heading1"/>
    <w:rsid w:val="00022EBB"/>
    <w:rPr>
      <w:rFonts w:asciiTheme="minorHAnsi" w:eastAsiaTheme="majorEastAsia" w:hAnsiTheme="minorHAnsi" w:cstheme="majorBidi"/>
      <w:b/>
      <w:bCs/>
      <w:szCs w:val="28"/>
      <w:lang w:eastAsia="en-GB"/>
    </w:rPr>
  </w:style>
  <w:style w:type="character" w:customStyle="1" w:styleId="ListParagraphChar">
    <w:name w:val="List Paragraph Char"/>
    <w:aliases w:val="BulletPoints Char,F5 List Paragraph Char,List Paragraph1 Char,List Paragraph11 Char"/>
    <w:link w:val="ListParagraph"/>
    <w:uiPriority w:val="34"/>
    <w:locked/>
    <w:rsid w:val="00022EBB"/>
  </w:style>
  <w:style w:type="character" w:customStyle="1" w:styleId="Heading2Char">
    <w:name w:val="Heading 2 Char"/>
    <w:basedOn w:val="DefaultParagraphFont"/>
    <w:link w:val="Heading2"/>
    <w:uiPriority w:val="9"/>
    <w:rsid w:val="00A8454D"/>
    <w:rPr>
      <w:rFonts w:asciiTheme="majorHAnsi" w:eastAsiaTheme="majorEastAsia" w:hAnsiTheme="majorHAnsi" w:cstheme="majorBidi"/>
      <w:b/>
      <w:bCs/>
      <w:color w:val="4F81BD" w:themeColor="accent1"/>
      <w:sz w:val="26"/>
      <w:szCs w:val="26"/>
    </w:rPr>
  </w:style>
  <w:style w:type="paragraph" w:customStyle="1" w:styleId="TableParagraph">
    <w:name w:val="Table Paragraph"/>
    <w:basedOn w:val="Normal"/>
    <w:uiPriority w:val="1"/>
    <w:qFormat/>
    <w:rsid w:val="00636D1E"/>
    <w:pPr>
      <w:widowControl w:val="0"/>
      <w:autoSpaceDE w:val="0"/>
      <w:autoSpaceDN w:val="0"/>
      <w:ind w:left="103"/>
    </w:pPr>
    <w:rPr>
      <w:rFonts w:ascii="Calibri" w:eastAsia="Calibri" w:hAnsi="Calibri" w:cs="Calibri"/>
      <w:sz w:val="22"/>
      <w:szCs w:val="2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022EBB"/>
    <w:pPr>
      <w:keepNext/>
      <w:keepLines/>
      <w:numPr>
        <w:numId w:val="4"/>
      </w:numPr>
      <w:overflowPunct w:val="0"/>
      <w:autoSpaceDE w:val="0"/>
      <w:autoSpaceDN w:val="0"/>
      <w:adjustRightInd w:val="0"/>
      <w:spacing w:before="480"/>
      <w:textAlignment w:val="baseline"/>
      <w:outlineLvl w:val="0"/>
    </w:pPr>
    <w:rPr>
      <w:rFonts w:asciiTheme="minorHAnsi" w:eastAsiaTheme="majorEastAsia" w:hAnsiTheme="minorHAnsi" w:cstheme="majorBidi"/>
      <w:b/>
      <w:bCs/>
      <w:szCs w:val="28"/>
      <w:lang w:eastAsia="en-GB"/>
    </w:rPr>
  </w:style>
  <w:style w:type="paragraph" w:styleId="Heading2">
    <w:name w:val="heading 2"/>
    <w:basedOn w:val="Normal"/>
    <w:next w:val="Normal"/>
    <w:link w:val="Heading2Char"/>
    <w:uiPriority w:val="9"/>
    <w:semiHidden/>
    <w:unhideWhenUsed/>
    <w:qFormat/>
    <w:rsid w:val="00A8454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A6EEB"/>
    <w:rPr>
      <w:rFonts w:ascii="Times" w:eastAsia="Times" w:hAnsi="Times"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Points,F5 List Paragraph,List Paragraph1,List Paragraph11"/>
    <w:basedOn w:val="Normal"/>
    <w:link w:val="ListParagraphChar"/>
    <w:uiPriority w:val="99"/>
    <w:qFormat/>
    <w:rsid w:val="00DA6EEB"/>
    <w:pPr>
      <w:ind w:left="720"/>
      <w:contextualSpacing/>
    </w:pPr>
  </w:style>
  <w:style w:type="character" w:styleId="Hyperlink">
    <w:name w:val="Hyperlink"/>
    <w:basedOn w:val="DefaultParagraphFont"/>
    <w:uiPriority w:val="99"/>
    <w:unhideWhenUsed/>
    <w:rsid w:val="00DA6EEB"/>
    <w:rPr>
      <w:color w:val="0000FF" w:themeColor="hyperlink"/>
      <w:u w:val="single"/>
    </w:rPr>
  </w:style>
  <w:style w:type="paragraph" w:styleId="Header">
    <w:name w:val="header"/>
    <w:basedOn w:val="Normal"/>
    <w:link w:val="HeaderChar"/>
    <w:uiPriority w:val="99"/>
    <w:unhideWhenUsed/>
    <w:rsid w:val="00DA6EEB"/>
    <w:pPr>
      <w:tabs>
        <w:tab w:val="center" w:pos="4513"/>
        <w:tab w:val="right" w:pos="9026"/>
      </w:tabs>
    </w:pPr>
  </w:style>
  <w:style w:type="character" w:customStyle="1" w:styleId="HeaderChar">
    <w:name w:val="Header Char"/>
    <w:basedOn w:val="DefaultParagraphFont"/>
    <w:link w:val="Header"/>
    <w:uiPriority w:val="99"/>
    <w:rsid w:val="00DA6EEB"/>
  </w:style>
  <w:style w:type="paragraph" w:styleId="Footer">
    <w:name w:val="footer"/>
    <w:basedOn w:val="Normal"/>
    <w:link w:val="FooterChar"/>
    <w:uiPriority w:val="99"/>
    <w:unhideWhenUsed/>
    <w:rsid w:val="00DA6EEB"/>
    <w:pPr>
      <w:tabs>
        <w:tab w:val="center" w:pos="4513"/>
        <w:tab w:val="right" w:pos="9026"/>
      </w:tabs>
    </w:pPr>
  </w:style>
  <w:style w:type="character" w:customStyle="1" w:styleId="FooterChar">
    <w:name w:val="Footer Char"/>
    <w:basedOn w:val="DefaultParagraphFont"/>
    <w:link w:val="Footer"/>
    <w:uiPriority w:val="99"/>
    <w:rsid w:val="00DA6EEB"/>
  </w:style>
  <w:style w:type="character" w:styleId="CommentReference">
    <w:name w:val="annotation reference"/>
    <w:basedOn w:val="DefaultParagraphFont"/>
    <w:uiPriority w:val="99"/>
    <w:semiHidden/>
    <w:unhideWhenUsed/>
    <w:rsid w:val="00571B86"/>
    <w:rPr>
      <w:sz w:val="16"/>
      <w:szCs w:val="16"/>
    </w:rPr>
  </w:style>
  <w:style w:type="paragraph" w:styleId="CommentText">
    <w:name w:val="annotation text"/>
    <w:basedOn w:val="Normal"/>
    <w:link w:val="CommentTextChar"/>
    <w:uiPriority w:val="99"/>
    <w:semiHidden/>
    <w:unhideWhenUsed/>
    <w:rsid w:val="00571B86"/>
    <w:rPr>
      <w:sz w:val="20"/>
      <w:szCs w:val="20"/>
    </w:rPr>
  </w:style>
  <w:style w:type="character" w:customStyle="1" w:styleId="CommentTextChar">
    <w:name w:val="Comment Text Char"/>
    <w:basedOn w:val="DefaultParagraphFont"/>
    <w:link w:val="CommentText"/>
    <w:uiPriority w:val="99"/>
    <w:semiHidden/>
    <w:rsid w:val="00571B86"/>
    <w:rPr>
      <w:sz w:val="20"/>
      <w:szCs w:val="20"/>
    </w:rPr>
  </w:style>
  <w:style w:type="paragraph" w:styleId="CommentSubject">
    <w:name w:val="annotation subject"/>
    <w:basedOn w:val="CommentText"/>
    <w:next w:val="CommentText"/>
    <w:link w:val="CommentSubjectChar"/>
    <w:uiPriority w:val="99"/>
    <w:semiHidden/>
    <w:unhideWhenUsed/>
    <w:rsid w:val="00571B86"/>
    <w:rPr>
      <w:b/>
      <w:bCs/>
    </w:rPr>
  </w:style>
  <w:style w:type="character" w:customStyle="1" w:styleId="CommentSubjectChar">
    <w:name w:val="Comment Subject Char"/>
    <w:basedOn w:val="CommentTextChar"/>
    <w:link w:val="CommentSubject"/>
    <w:uiPriority w:val="99"/>
    <w:semiHidden/>
    <w:rsid w:val="00571B86"/>
    <w:rPr>
      <w:b/>
      <w:bCs/>
      <w:sz w:val="20"/>
      <w:szCs w:val="20"/>
    </w:rPr>
  </w:style>
  <w:style w:type="paragraph" w:styleId="BalloonText">
    <w:name w:val="Balloon Text"/>
    <w:basedOn w:val="Normal"/>
    <w:link w:val="BalloonTextChar"/>
    <w:uiPriority w:val="99"/>
    <w:semiHidden/>
    <w:unhideWhenUsed/>
    <w:rsid w:val="00571B86"/>
    <w:rPr>
      <w:rFonts w:ascii="Tahoma" w:hAnsi="Tahoma" w:cs="Tahoma"/>
      <w:sz w:val="16"/>
      <w:szCs w:val="16"/>
    </w:rPr>
  </w:style>
  <w:style w:type="character" w:customStyle="1" w:styleId="BalloonTextChar">
    <w:name w:val="Balloon Text Char"/>
    <w:basedOn w:val="DefaultParagraphFont"/>
    <w:link w:val="BalloonText"/>
    <w:uiPriority w:val="99"/>
    <w:semiHidden/>
    <w:rsid w:val="00571B86"/>
    <w:rPr>
      <w:rFonts w:ascii="Tahoma" w:hAnsi="Tahoma" w:cs="Tahoma"/>
      <w:sz w:val="16"/>
      <w:szCs w:val="16"/>
    </w:rPr>
  </w:style>
  <w:style w:type="paragraph" w:customStyle="1" w:styleId="TextR">
    <w:name w:val="TextR"/>
    <w:basedOn w:val="Normal"/>
    <w:rsid w:val="00931DDC"/>
    <w:pPr>
      <w:overflowPunct w:val="0"/>
      <w:autoSpaceDE w:val="0"/>
      <w:autoSpaceDN w:val="0"/>
      <w:adjustRightInd w:val="0"/>
      <w:textAlignment w:val="baseline"/>
    </w:pPr>
    <w:rPr>
      <w:rFonts w:eastAsia="Times New Roman" w:cs="Times New Roman"/>
      <w:szCs w:val="20"/>
      <w:lang w:eastAsia="en-GB"/>
    </w:rPr>
  </w:style>
  <w:style w:type="character" w:customStyle="1" w:styleId="Heading1Char">
    <w:name w:val="Heading 1 Char"/>
    <w:basedOn w:val="DefaultParagraphFont"/>
    <w:link w:val="Heading1"/>
    <w:rsid w:val="00022EBB"/>
    <w:rPr>
      <w:rFonts w:asciiTheme="minorHAnsi" w:eastAsiaTheme="majorEastAsia" w:hAnsiTheme="minorHAnsi" w:cstheme="majorBidi"/>
      <w:b/>
      <w:bCs/>
      <w:szCs w:val="28"/>
      <w:lang w:eastAsia="en-GB"/>
    </w:rPr>
  </w:style>
  <w:style w:type="character" w:customStyle="1" w:styleId="ListParagraphChar">
    <w:name w:val="List Paragraph Char"/>
    <w:aliases w:val="BulletPoints Char,F5 List Paragraph Char,List Paragraph1 Char,List Paragraph11 Char"/>
    <w:link w:val="ListParagraph"/>
    <w:uiPriority w:val="34"/>
    <w:locked/>
    <w:rsid w:val="00022EBB"/>
  </w:style>
  <w:style w:type="character" w:customStyle="1" w:styleId="Heading2Char">
    <w:name w:val="Heading 2 Char"/>
    <w:basedOn w:val="DefaultParagraphFont"/>
    <w:link w:val="Heading2"/>
    <w:uiPriority w:val="9"/>
    <w:rsid w:val="00A8454D"/>
    <w:rPr>
      <w:rFonts w:asciiTheme="majorHAnsi" w:eastAsiaTheme="majorEastAsia" w:hAnsiTheme="majorHAnsi" w:cstheme="majorBidi"/>
      <w:b/>
      <w:bCs/>
      <w:color w:val="4F81BD" w:themeColor="accent1"/>
      <w:sz w:val="26"/>
      <w:szCs w:val="26"/>
    </w:rPr>
  </w:style>
  <w:style w:type="paragraph" w:customStyle="1" w:styleId="TableParagraph">
    <w:name w:val="Table Paragraph"/>
    <w:basedOn w:val="Normal"/>
    <w:uiPriority w:val="1"/>
    <w:qFormat/>
    <w:rsid w:val="00636D1E"/>
    <w:pPr>
      <w:widowControl w:val="0"/>
      <w:autoSpaceDE w:val="0"/>
      <w:autoSpaceDN w:val="0"/>
      <w:ind w:left="103"/>
    </w:pPr>
    <w:rPr>
      <w:rFonts w:ascii="Calibri" w:eastAsia="Calibri" w:hAnsi="Calibri" w:cs="Calibr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551786">
      <w:bodyDiv w:val="1"/>
      <w:marLeft w:val="0"/>
      <w:marRight w:val="0"/>
      <w:marTop w:val="0"/>
      <w:marBottom w:val="0"/>
      <w:divBdr>
        <w:top w:val="none" w:sz="0" w:space="0" w:color="auto"/>
        <w:left w:val="none" w:sz="0" w:space="0" w:color="auto"/>
        <w:bottom w:val="none" w:sz="0" w:space="0" w:color="auto"/>
        <w:right w:val="none" w:sz="0" w:space="0" w:color="auto"/>
      </w:divBdr>
      <w:divsChild>
        <w:div w:id="1747343477">
          <w:marLeft w:val="0"/>
          <w:marRight w:val="0"/>
          <w:marTop w:val="0"/>
          <w:marBottom w:val="0"/>
          <w:divBdr>
            <w:top w:val="none" w:sz="0" w:space="0" w:color="auto"/>
            <w:left w:val="none" w:sz="0" w:space="0" w:color="auto"/>
            <w:bottom w:val="none" w:sz="0" w:space="0" w:color="auto"/>
            <w:right w:val="none" w:sz="0" w:space="0" w:color="auto"/>
          </w:divBdr>
          <w:divsChild>
            <w:div w:id="1268192974">
              <w:marLeft w:val="0"/>
              <w:marRight w:val="0"/>
              <w:marTop w:val="0"/>
              <w:marBottom w:val="0"/>
              <w:divBdr>
                <w:top w:val="none" w:sz="0" w:space="0" w:color="auto"/>
                <w:left w:val="none" w:sz="0" w:space="0" w:color="auto"/>
                <w:bottom w:val="none" w:sz="0" w:space="0" w:color="auto"/>
                <w:right w:val="none" w:sz="0" w:space="0" w:color="auto"/>
              </w:divBdr>
              <w:divsChild>
                <w:div w:id="469136918">
                  <w:marLeft w:val="0"/>
                  <w:marRight w:val="0"/>
                  <w:marTop w:val="0"/>
                  <w:marBottom w:val="0"/>
                  <w:divBdr>
                    <w:top w:val="none" w:sz="0" w:space="0" w:color="auto"/>
                    <w:left w:val="none" w:sz="0" w:space="0" w:color="auto"/>
                    <w:bottom w:val="none" w:sz="0" w:space="0" w:color="auto"/>
                    <w:right w:val="none" w:sz="0" w:space="0" w:color="auto"/>
                  </w:divBdr>
                  <w:divsChild>
                    <w:div w:id="180881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mailto:Rhiannon.mort@essex.gov.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B34A7656483B74FB66C73ECEA17E281" ma:contentTypeVersion="12" ma:contentTypeDescription="Create a new document." ma:contentTypeScope="" ma:versionID="67903a57913d5100d3fa6ad57a7f4833">
  <xsd:schema xmlns:xsd="http://www.w3.org/2001/XMLSchema" xmlns:xs="http://www.w3.org/2001/XMLSchema" xmlns:p="http://schemas.microsoft.com/office/2006/metadata/properties" xmlns:ns2="a9f12287-5f74-4593-92c9-e973669b9a71" xmlns:ns3="6140e513-9c0e-4e73-9b29-9e780522eb94" targetNamespace="http://schemas.microsoft.com/office/2006/metadata/properties" ma:root="true" ma:fieldsID="2340de3028fc36c580f7120df5d7a26c" ns2:_="" ns3:_="">
    <xsd:import namespace="a9f12287-5f74-4593-92c9-e973669b9a71"/>
    <xsd:import namespace="6140e513-9c0e-4e73-9b29-9e780522eb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f12287-5f74-4593-92c9-e973669b9a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40e513-9c0e-4e73-9b29-9e780522eb9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39E90E-B4DC-4AEC-9C46-43E392729009}">
  <ds:schemaRefs>
    <ds:schemaRef ds:uri="1c7f92b6-d343-469b-a597-ad7c16c497bd"/>
    <ds:schemaRef ds:uri="http://purl.org/dc/dcmitype/"/>
    <ds:schemaRef ds:uri="http://schemas.microsoft.com/office/2006/documentManagement/types"/>
    <ds:schemaRef ds:uri="http://schemas.openxmlformats.org/package/2006/metadata/core-properties"/>
    <ds:schemaRef ds:uri="http://schemas.microsoft.com/office/2006/metadata/properties"/>
    <ds:schemaRef ds:uri="http://purl.org/dc/elements/1.1/"/>
    <ds:schemaRef ds:uri="http://www.w3.org/XML/1998/namespace"/>
    <ds:schemaRef ds:uri="http://purl.org/dc/term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477BE07E-424C-4566-9FFB-C558C4AEEA2D}">
  <ds:schemaRefs>
    <ds:schemaRef ds:uri="http://schemas.microsoft.com/sharepoint/v3/contenttype/forms"/>
  </ds:schemaRefs>
</ds:datastoreItem>
</file>

<file path=customXml/itemProps3.xml><?xml version="1.0" encoding="utf-8"?>
<ds:datastoreItem xmlns:ds="http://schemas.openxmlformats.org/officeDocument/2006/customXml" ds:itemID="{C0B24B40-3183-4F73-B1BB-8F3C12CFC977}"/>
</file>

<file path=docProps/app.xml><?xml version="1.0" encoding="utf-8"?>
<Properties xmlns="http://schemas.openxmlformats.org/officeDocument/2006/extended-properties" xmlns:vt="http://schemas.openxmlformats.org/officeDocument/2006/docPropsVTypes">
  <Template>Normal</Template>
  <TotalTime>1</TotalTime>
  <Pages>6</Pages>
  <Words>1625</Words>
  <Characters>9267</Characters>
  <Application>Microsoft Office Word</Application>
  <DocSecurity>4</DocSecurity>
  <Lines>77</Lines>
  <Paragraphs>21</Paragraphs>
  <ScaleCrop>false</ScaleCrop>
  <HeadingPairs>
    <vt:vector size="2" baseType="variant">
      <vt:variant>
        <vt:lpstr>Title</vt:lpstr>
      </vt:variant>
      <vt:variant>
        <vt:i4>1</vt:i4>
      </vt:variant>
    </vt:vector>
  </HeadingPairs>
  <TitlesOfParts>
    <vt:vector size="1" baseType="lpstr">
      <vt:lpstr>TEMPLATE_briefings_and_decisions</vt:lpstr>
    </vt:vector>
  </TitlesOfParts>
  <Company>Essex County Council</Company>
  <LinksUpToDate>false</LinksUpToDate>
  <CharactersWithSpaces>10871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TEMPLATE_briefings_and_decisions</dc:title>
  <dc:creator>peter.fairley</dc:creator>
  <cp:lastModifiedBy>rhiannon.mort</cp:lastModifiedBy>
  <cp:revision>2</cp:revision>
  <dcterms:created xsi:type="dcterms:W3CDTF">2018-07-13T15:12:00Z</dcterms:created>
  <dcterms:modified xsi:type="dcterms:W3CDTF">2018-07-13T15:12:00Z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0x010100BB34A7656483B74FB66C73ECEA17E281</vt:lpwstr>
  </property>
  <property fmtid="{D5CDD505-2E9C-101B-9397-08002B2CF9AE}" pid="3" name="Content_x0020_Subject">
    <vt:lpwstr/>
  </property>
  <property fmtid="{D5CDD505-2E9C-101B-9397-08002B2CF9AE}" pid="4" name="Order">
    <vt:r8>164300</vt:r8>
  </property>
  <property fmtid="{D5CDD505-2E9C-101B-9397-08002B2CF9AE}" pid="5" name="Content Keywords">
    <vt:lpwstr/>
  </property>
  <property fmtid="{D5CDD505-2E9C-101B-9397-08002B2CF9AE}" pid="6" name="Content Review Date">
    <vt:filetime>2018-12-17T14:33:31Z</vt:filetime>
  </property>
  <property fmtid="{D5CDD505-2E9C-101B-9397-08002B2CF9AE}" pid="7" name="Content Description">
    <vt:lpwstr>Template for all CMAs, cabinet reports, reports to internal boards and cabinet member briefings.</vt:lpwstr>
  </property>
  <property fmtid="{D5CDD505-2E9C-101B-9397-08002B2CF9AE}" pid="8" name="xd_Signature">
    <vt:bool>false</vt:bool>
  </property>
  <property fmtid="{D5CDD505-2E9C-101B-9397-08002B2CF9AE}" pid="9" name="xd_ProgID">
    <vt:lpwstr/>
  </property>
  <property fmtid="{D5CDD505-2E9C-101B-9397-08002B2CF9AE}" pid="10" name="Content Approver">
    <vt:lpwstr/>
  </property>
  <property fmtid="{D5CDD505-2E9C-101B-9397-08002B2CF9AE}" pid="11" name="Document Categories">
    <vt:lpwstr>;#Corporate Governance;#</vt:lpwstr>
  </property>
  <property fmtid="{D5CDD505-2E9C-101B-9397-08002B2CF9AE}" pid="12" name="TemplateUrl">
    <vt:lpwstr/>
  </property>
  <property fmtid="{D5CDD505-2E9C-101B-9397-08002B2CF9AE}" pid="13" name="Content Editor">
    <vt:lpwstr/>
  </property>
  <property fmtid="{D5CDD505-2E9C-101B-9397-08002B2CF9AE}" pid="14" name="Content Owner">
    <vt:lpwstr/>
  </property>
  <property fmtid="{D5CDD505-2E9C-101B-9397-08002B2CF9AE}" pid="15" name="display_urn">
    <vt:lpwstr>Paul Turner2, Principal Lawyer - Governance</vt:lpwstr>
  </property>
  <property fmtid="{D5CDD505-2E9C-101B-9397-08002B2CF9AE}" pid="16" name="Content Subject">
    <vt:lpwstr/>
  </property>
</Properties>
</file>