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9BF" w:rsidRPr="008B1489" w:rsidRDefault="003C59BF" w:rsidP="003C59BF">
      <w:pPr>
        <w:rPr>
          <w:rFonts w:ascii="Calibri" w:hAnsi="Calibri"/>
          <w:color w:val="auto"/>
          <w:sz w:val="24"/>
          <w:szCs w:val="24"/>
        </w:rPr>
      </w:pPr>
    </w:p>
    <w:p w:rsidR="003C59BF" w:rsidRPr="008B1489" w:rsidRDefault="003C59BF" w:rsidP="003C59BF">
      <w:pPr>
        <w:spacing w:after="100" w:afterAutospacing="1"/>
        <w:jc w:val="center"/>
        <w:rPr>
          <w:rFonts w:ascii="Calibri" w:eastAsia="Batang" w:hAnsi="Calibri" w:cs="Arial"/>
          <w:b/>
          <w:color w:val="auto"/>
          <w:sz w:val="24"/>
          <w:szCs w:val="24"/>
        </w:rPr>
      </w:pPr>
      <w:r w:rsidRPr="008B1489">
        <w:rPr>
          <w:rFonts w:ascii="Calibri" w:eastAsia="Batang" w:hAnsi="Calibri" w:cs="Arial"/>
          <w:b/>
          <w:color w:val="auto"/>
          <w:sz w:val="24"/>
          <w:szCs w:val="24"/>
        </w:rPr>
        <w:t>South East Social Enterprise Network (SESEN)</w:t>
      </w:r>
    </w:p>
    <w:p w:rsidR="003C59BF" w:rsidRPr="008B1489" w:rsidRDefault="003C59BF" w:rsidP="003C59BF">
      <w:pPr>
        <w:spacing w:after="100" w:afterAutospacing="1"/>
        <w:jc w:val="center"/>
        <w:rPr>
          <w:rFonts w:ascii="Calibri" w:eastAsia="Batang" w:hAnsi="Calibri" w:cs="Arial"/>
          <w:b/>
          <w:color w:val="auto"/>
          <w:sz w:val="24"/>
          <w:szCs w:val="24"/>
        </w:rPr>
      </w:pPr>
      <w:r w:rsidRPr="008B1489">
        <w:rPr>
          <w:rFonts w:ascii="Calibri" w:eastAsia="Batang" w:hAnsi="Calibri" w:cs="Arial"/>
          <w:b/>
          <w:color w:val="auto"/>
          <w:sz w:val="24"/>
          <w:szCs w:val="24"/>
        </w:rPr>
        <w:t>(Working Group to SELEP)</w:t>
      </w:r>
    </w:p>
    <w:p w:rsidR="003C59BF" w:rsidRDefault="00404383" w:rsidP="008B1489">
      <w:pPr>
        <w:jc w:val="center"/>
        <w:rPr>
          <w:rFonts w:ascii="Calibri" w:hAnsi="Calibri"/>
          <w:b/>
          <w:color w:val="auto"/>
          <w:sz w:val="24"/>
          <w:szCs w:val="24"/>
        </w:rPr>
      </w:pPr>
      <w:r>
        <w:rPr>
          <w:rFonts w:ascii="Calibri" w:hAnsi="Calibri"/>
          <w:b/>
          <w:color w:val="auto"/>
          <w:sz w:val="24"/>
          <w:szCs w:val="24"/>
        </w:rPr>
        <w:t>18</w:t>
      </w:r>
      <w:r w:rsidRPr="00404383">
        <w:rPr>
          <w:rFonts w:ascii="Calibri" w:hAnsi="Calibri"/>
          <w:b/>
          <w:color w:val="auto"/>
          <w:sz w:val="24"/>
          <w:szCs w:val="24"/>
          <w:vertAlign w:val="superscript"/>
        </w:rPr>
        <w:t>th</w:t>
      </w:r>
      <w:r>
        <w:rPr>
          <w:rFonts w:ascii="Calibri" w:hAnsi="Calibri"/>
          <w:b/>
          <w:color w:val="auto"/>
          <w:sz w:val="24"/>
          <w:szCs w:val="24"/>
        </w:rPr>
        <w:t xml:space="preserve"> September</w:t>
      </w:r>
      <w:r w:rsidR="003E4F96">
        <w:rPr>
          <w:rFonts w:ascii="Calibri" w:hAnsi="Calibri"/>
          <w:b/>
          <w:color w:val="auto"/>
          <w:sz w:val="24"/>
          <w:szCs w:val="24"/>
        </w:rPr>
        <w:t xml:space="preserve"> 2019 1:30PM</w:t>
      </w:r>
    </w:p>
    <w:p w:rsidR="00DE1239" w:rsidRPr="008B1489" w:rsidRDefault="00DE1239" w:rsidP="008B1489">
      <w:pPr>
        <w:jc w:val="center"/>
        <w:rPr>
          <w:rFonts w:ascii="Calibri" w:hAnsi="Calibri"/>
          <w:b/>
          <w:color w:val="auto"/>
          <w:sz w:val="24"/>
          <w:szCs w:val="24"/>
        </w:rPr>
      </w:pPr>
    </w:p>
    <w:tbl>
      <w:tblPr>
        <w:tblStyle w:val="TableGrid"/>
        <w:tblW w:w="0" w:type="auto"/>
        <w:tblLook w:val="04A0" w:firstRow="1" w:lastRow="0" w:firstColumn="1" w:lastColumn="0" w:noHBand="0" w:noVBand="1"/>
      </w:tblPr>
      <w:tblGrid>
        <w:gridCol w:w="2972"/>
        <w:gridCol w:w="6044"/>
      </w:tblGrid>
      <w:tr w:rsidR="008B1489" w:rsidRPr="008B1489" w:rsidTr="00404383">
        <w:tc>
          <w:tcPr>
            <w:tcW w:w="2972" w:type="dxa"/>
          </w:tcPr>
          <w:p w:rsidR="003C59BF" w:rsidRPr="00FF416C" w:rsidRDefault="00FF416C" w:rsidP="001B1AD0">
            <w:pPr>
              <w:rPr>
                <w:rFonts w:ascii="Calibri" w:hAnsi="Calibri"/>
                <w:color w:val="auto"/>
                <w:sz w:val="24"/>
                <w:szCs w:val="24"/>
              </w:rPr>
            </w:pPr>
            <w:r w:rsidRPr="00FF416C">
              <w:rPr>
                <w:rFonts w:ascii="Calibri" w:hAnsi="Calibri"/>
                <w:color w:val="auto"/>
                <w:sz w:val="24"/>
                <w:szCs w:val="24"/>
              </w:rPr>
              <w:t>Welcome &amp; Apologies</w:t>
            </w:r>
          </w:p>
        </w:tc>
        <w:tc>
          <w:tcPr>
            <w:tcW w:w="6044" w:type="dxa"/>
          </w:tcPr>
          <w:p w:rsidR="003C59BF" w:rsidRDefault="00FF416C" w:rsidP="003C59BF">
            <w:pPr>
              <w:rPr>
                <w:rFonts w:ascii="Calibri" w:hAnsi="Calibri"/>
                <w:color w:val="auto"/>
                <w:sz w:val="24"/>
                <w:szCs w:val="24"/>
              </w:rPr>
            </w:pPr>
            <w:r>
              <w:rPr>
                <w:rFonts w:ascii="Calibri" w:hAnsi="Calibri"/>
                <w:color w:val="auto"/>
                <w:sz w:val="24"/>
                <w:szCs w:val="24"/>
              </w:rPr>
              <w:t xml:space="preserve">Apologies were received from </w:t>
            </w:r>
            <w:r w:rsidR="00404383">
              <w:rPr>
                <w:rFonts w:ascii="Calibri" w:hAnsi="Calibri"/>
                <w:color w:val="auto"/>
                <w:sz w:val="24"/>
                <w:szCs w:val="24"/>
              </w:rPr>
              <w:t>Caroline Reynolds, Roy Laming, Sam Scharf, Chris Burr, Richard Dawson, Elaine McCorriston, Paul Dodson, Steve Sherry, Mark Kass and Graham Marley.</w:t>
            </w:r>
          </w:p>
          <w:p w:rsidR="00FF416C" w:rsidRPr="008B1489" w:rsidRDefault="00FF416C" w:rsidP="003C59BF">
            <w:pPr>
              <w:rPr>
                <w:rFonts w:ascii="Calibri" w:hAnsi="Calibri"/>
                <w:color w:val="auto"/>
                <w:sz w:val="24"/>
                <w:szCs w:val="24"/>
              </w:rPr>
            </w:pPr>
            <w:r>
              <w:rPr>
                <w:rFonts w:ascii="Calibri" w:hAnsi="Calibri"/>
                <w:color w:val="auto"/>
                <w:sz w:val="24"/>
                <w:szCs w:val="24"/>
              </w:rPr>
              <w:t xml:space="preserve">The Chair, Penny Shimmin, welcomed everyone to the meeting and introduced </w:t>
            </w:r>
            <w:r w:rsidR="00404383">
              <w:rPr>
                <w:rFonts w:ascii="Calibri" w:hAnsi="Calibri"/>
                <w:color w:val="auto"/>
                <w:sz w:val="24"/>
                <w:szCs w:val="24"/>
              </w:rPr>
              <w:t>Alex Riley, Programme Manager who is filling in for Lucy Spencer-Lawrence while she is on maternity leave.</w:t>
            </w:r>
          </w:p>
        </w:tc>
      </w:tr>
      <w:tr w:rsidR="008B1489" w:rsidRPr="008B1489" w:rsidTr="00404383">
        <w:tc>
          <w:tcPr>
            <w:tcW w:w="2972" w:type="dxa"/>
          </w:tcPr>
          <w:p w:rsidR="00FF416C" w:rsidRPr="00FF416C" w:rsidRDefault="00FF416C" w:rsidP="00FF416C">
            <w:pPr>
              <w:rPr>
                <w:rFonts w:ascii="Calibri" w:hAnsi="Calibri"/>
                <w:color w:val="auto"/>
                <w:sz w:val="24"/>
                <w:szCs w:val="24"/>
              </w:rPr>
            </w:pPr>
            <w:r w:rsidRPr="00FF416C">
              <w:rPr>
                <w:rFonts w:ascii="Calibri" w:hAnsi="Calibri"/>
                <w:color w:val="auto"/>
                <w:sz w:val="24"/>
                <w:szCs w:val="24"/>
              </w:rPr>
              <w:t xml:space="preserve">Review of notes from the last meeting </w:t>
            </w:r>
          </w:p>
          <w:p w:rsidR="003C59BF" w:rsidRPr="00FF416C" w:rsidRDefault="003C59BF" w:rsidP="003C59BF">
            <w:pPr>
              <w:rPr>
                <w:rFonts w:ascii="Calibri" w:hAnsi="Calibri"/>
                <w:color w:val="auto"/>
                <w:sz w:val="24"/>
                <w:szCs w:val="24"/>
              </w:rPr>
            </w:pPr>
          </w:p>
        </w:tc>
        <w:tc>
          <w:tcPr>
            <w:tcW w:w="6044" w:type="dxa"/>
          </w:tcPr>
          <w:p w:rsidR="00B953B4" w:rsidRPr="008B1489" w:rsidRDefault="00FF416C" w:rsidP="003C59BF">
            <w:pPr>
              <w:rPr>
                <w:rFonts w:ascii="Calibri" w:hAnsi="Calibri"/>
                <w:color w:val="auto"/>
                <w:sz w:val="24"/>
                <w:szCs w:val="24"/>
              </w:rPr>
            </w:pPr>
            <w:r>
              <w:rPr>
                <w:rFonts w:ascii="Calibri" w:hAnsi="Calibri"/>
                <w:color w:val="auto"/>
                <w:sz w:val="24"/>
                <w:szCs w:val="24"/>
              </w:rPr>
              <w:t xml:space="preserve">The notes were reviewed by those present and agreed as a true reflection of the discussion that took place at the last meeting. </w:t>
            </w:r>
          </w:p>
        </w:tc>
      </w:tr>
      <w:tr w:rsidR="00753376" w:rsidRPr="008B1489" w:rsidTr="00404383">
        <w:tc>
          <w:tcPr>
            <w:tcW w:w="2972" w:type="dxa"/>
          </w:tcPr>
          <w:p w:rsidR="00FF416C" w:rsidRPr="00FF416C" w:rsidRDefault="00404383" w:rsidP="00FF416C">
            <w:pPr>
              <w:rPr>
                <w:rFonts w:ascii="Calibri" w:hAnsi="Calibri"/>
                <w:color w:val="auto"/>
                <w:sz w:val="24"/>
                <w:szCs w:val="24"/>
              </w:rPr>
            </w:pPr>
            <w:r>
              <w:rPr>
                <w:rFonts w:ascii="Calibri" w:hAnsi="Calibri"/>
                <w:color w:val="auto"/>
                <w:sz w:val="24"/>
                <w:szCs w:val="24"/>
              </w:rPr>
              <w:t>A Better Start Southend Presentation</w:t>
            </w:r>
          </w:p>
          <w:p w:rsidR="00753376" w:rsidRPr="008B1489" w:rsidRDefault="00753376" w:rsidP="00F42216">
            <w:pPr>
              <w:rPr>
                <w:rFonts w:ascii="Calibri" w:hAnsi="Calibri"/>
                <w:color w:val="auto"/>
                <w:sz w:val="24"/>
                <w:szCs w:val="24"/>
              </w:rPr>
            </w:pPr>
          </w:p>
        </w:tc>
        <w:tc>
          <w:tcPr>
            <w:tcW w:w="6044" w:type="dxa"/>
          </w:tcPr>
          <w:p w:rsidR="003244AB" w:rsidRPr="00404383" w:rsidRDefault="00404383" w:rsidP="00404383">
            <w:pPr>
              <w:rPr>
                <w:rFonts w:ascii="Calibri" w:hAnsi="Calibri"/>
                <w:color w:val="auto"/>
                <w:sz w:val="24"/>
                <w:szCs w:val="24"/>
              </w:rPr>
            </w:pPr>
            <w:r>
              <w:rPr>
                <w:rFonts w:ascii="Calibri" w:hAnsi="Calibri"/>
                <w:color w:val="auto"/>
                <w:sz w:val="24"/>
                <w:szCs w:val="24"/>
              </w:rPr>
              <w:t>Jeff Banks provided a presentation to the group – to be attached with these notes.</w:t>
            </w:r>
          </w:p>
        </w:tc>
      </w:tr>
      <w:tr w:rsidR="008B1489" w:rsidRPr="008B1489" w:rsidTr="00404383">
        <w:tc>
          <w:tcPr>
            <w:tcW w:w="2972" w:type="dxa"/>
          </w:tcPr>
          <w:p w:rsidR="003244AB" w:rsidRPr="003244AB" w:rsidRDefault="00404383" w:rsidP="003244AB">
            <w:pPr>
              <w:rPr>
                <w:rFonts w:ascii="Calibri" w:hAnsi="Calibri"/>
                <w:color w:val="auto"/>
                <w:sz w:val="24"/>
                <w:szCs w:val="24"/>
              </w:rPr>
            </w:pPr>
            <w:r>
              <w:rPr>
                <w:rFonts w:ascii="Calibri" w:hAnsi="Calibri"/>
                <w:color w:val="auto"/>
                <w:sz w:val="24"/>
                <w:szCs w:val="24"/>
              </w:rPr>
              <w:t>SELEP Skills Advisory Panel Introduction</w:t>
            </w:r>
          </w:p>
          <w:p w:rsidR="00060FC5" w:rsidRPr="008B1489" w:rsidRDefault="00060FC5" w:rsidP="003C59BF">
            <w:pPr>
              <w:rPr>
                <w:rFonts w:ascii="Calibri" w:hAnsi="Calibri"/>
                <w:color w:val="auto"/>
                <w:sz w:val="24"/>
                <w:szCs w:val="24"/>
              </w:rPr>
            </w:pPr>
          </w:p>
        </w:tc>
        <w:tc>
          <w:tcPr>
            <w:tcW w:w="6044" w:type="dxa"/>
          </w:tcPr>
          <w:p w:rsidR="003244AB" w:rsidRPr="00404383" w:rsidRDefault="00404383" w:rsidP="00404383">
            <w:pPr>
              <w:rPr>
                <w:rFonts w:ascii="Calibri" w:hAnsi="Calibri"/>
                <w:color w:val="auto"/>
                <w:sz w:val="24"/>
                <w:szCs w:val="24"/>
              </w:rPr>
            </w:pPr>
            <w:r>
              <w:rPr>
                <w:rFonts w:ascii="Calibri" w:hAnsi="Calibri"/>
                <w:color w:val="auto"/>
                <w:sz w:val="24"/>
                <w:szCs w:val="24"/>
              </w:rPr>
              <w:t xml:space="preserve">Louise Aitken provided an update to the group on the Skills Advisory Panel – to be attached with these notes. </w:t>
            </w:r>
          </w:p>
        </w:tc>
      </w:tr>
      <w:tr w:rsidR="002A227E" w:rsidRPr="008B1489" w:rsidTr="00404383">
        <w:tc>
          <w:tcPr>
            <w:tcW w:w="2972" w:type="dxa"/>
          </w:tcPr>
          <w:p w:rsidR="002A227E" w:rsidRPr="008B1489" w:rsidRDefault="00E83430" w:rsidP="003C59BF">
            <w:pPr>
              <w:rPr>
                <w:rFonts w:ascii="Calibri" w:hAnsi="Calibri"/>
                <w:color w:val="auto"/>
                <w:sz w:val="24"/>
                <w:szCs w:val="24"/>
              </w:rPr>
            </w:pPr>
            <w:r>
              <w:rPr>
                <w:rFonts w:ascii="Calibri" w:hAnsi="Calibri"/>
                <w:color w:val="auto"/>
                <w:sz w:val="24"/>
                <w:szCs w:val="24"/>
              </w:rPr>
              <w:t>Prospectus – sign-off of the final draft</w:t>
            </w:r>
          </w:p>
        </w:tc>
        <w:tc>
          <w:tcPr>
            <w:tcW w:w="6044" w:type="dxa"/>
          </w:tcPr>
          <w:p w:rsidR="009138D8" w:rsidRDefault="009138D8" w:rsidP="009043C6">
            <w:pPr>
              <w:rPr>
                <w:rFonts w:ascii="Calibri" w:hAnsi="Calibri"/>
                <w:color w:val="auto"/>
                <w:sz w:val="24"/>
                <w:szCs w:val="24"/>
              </w:rPr>
            </w:pPr>
            <w:r>
              <w:rPr>
                <w:rFonts w:ascii="Calibri" w:hAnsi="Calibri"/>
                <w:color w:val="auto"/>
                <w:sz w:val="24"/>
                <w:szCs w:val="24"/>
              </w:rPr>
              <w:t>The group made positive comments on the latest draft of the prospectus and were eager that this now moves on to the implementation and delivery stage.</w:t>
            </w:r>
          </w:p>
          <w:p w:rsidR="009138D8" w:rsidRDefault="009138D8" w:rsidP="009043C6">
            <w:pPr>
              <w:rPr>
                <w:rFonts w:ascii="Calibri" w:hAnsi="Calibri"/>
                <w:color w:val="auto"/>
                <w:sz w:val="24"/>
                <w:szCs w:val="24"/>
              </w:rPr>
            </w:pPr>
            <w:r>
              <w:rPr>
                <w:rFonts w:ascii="Calibri" w:hAnsi="Calibri"/>
                <w:color w:val="auto"/>
                <w:sz w:val="24"/>
                <w:szCs w:val="24"/>
              </w:rPr>
              <w:t>They were informed that the idea is that the research appendices acts as a ‘living document’ that can be updated when information arises.</w:t>
            </w:r>
          </w:p>
          <w:p w:rsidR="00A65C39" w:rsidRDefault="009138D8" w:rsidP="009043C6">
            <w:pPr>
              <w:rPr>
                <w:rFonts w:ascii="Calibri" w:hAnsi="Calibri"/>
                <w:color w:val="auto"/>
                <w:sz w:val="24"/>
                <w:szCs w:val="24"/>
              </w:rPr>
            </w:pPr>
            <w:r>
              <w:rPr>
                <w:rFonts w:ascii="Calibri" w:hAnsi="Calibri"/>
                <w:color w:val="auto"/>
                <w:sz w:val="24"/>
                <w:szCs w:val="24"/>
              </w:rPr>
              <w:t>The key next step will be implementing the Calls to Action and measuring the impact of interventions.</w:t>
            </w:r>
          </w:p>
          <w:p w:rsidR="00B953B4" w:rsidRDefault="00A65C39" w:rsidP="009043C6">
            <w:pPr>
              <w:rPr>
                <w:rFonts w:ascii="Calibri" w:hAnsi="Calibri"/>
                <w:b/>
                <w:color w:val="auto"/>
                <w:sz w:val="24"/>
                <w:szCs w:val="24"/>
              </w:rPr>
            </w:pPr>
            <w:r>
              <w:rPr>
                <w:rFonts w:ascii="Calibri" w:hAnsi="Calibri"/>
                <w:b/>
                <w:color w:val="auto"/>
                <w:sz w:val="24"/>
                <w:szCs w:val="24"/>
              </w:rPr>
              <w:t xml:space="preserve">ACTION: </w:t>
            </w:r>
            <w:r>
              <w:rPr>
                <w:rFonts w:ascii="Calibri" w:hAnsi="Calibri"/>
                <w:color w:val="auto"/>
                <w:sz w:val="24"/>
                <w:szCs w:val="24"/>
              </w:rPr>
              <w:t xml:space="preserve">The group suggested creating a live matrix of who/how/what/when relating to each of the Calls to Action and for the working group to take ownership of this. </w:t>
            </w:r>
            <w:r>
              <w:rPr>
                <w:rFonts w:ascii="Calibri" w:hAnsi="Calibri"/>
                <w:b/>
                <w:color w:val="auto"/>
                <w:sz w:val="24"/>
                <w:szCs w:val="24"/>
              </w:rPr>
              <w:t xml:space="preserve">Alex </w:t>
            </w:r>
            <w:r>
              <w:rPr>
                <w:rFonts w:ascii="Calibri" w:hAnsi="Calibri"/>
                <w:b/>
                <w:color w:val="auto"/>
                <w:sz w:val="24"/>
                <w:szCs w:val="24"/>
              </w:rPr>
              <w:lastRenderedPageBreak/>
              <w:t>Riley will create a first draft of this and circulate to the group for comment.</w:t>
            </w:r>
          </w:p>
          <w:p w:rsidR="00A65C39" w:rsidRDefault="00A65C39" w:rsidP="009043C6">
            <w:pPr>
              <w:rPr>
                <w:rFonts w:ascii="Calibri" w:hAnsi="Calibri"/>
                <w:b/>
                <w:color w:val="auto"/>
                <w:sz w:val="24"/>
                <w:szCs w:val="24"/>
              </w:rPr>
            </w:pPr>
            <w:r>
              <w:rPr>
                <w:rFonts w:ascii="Calibri" w:hAnsi="Calibri"/>
                <w:b/>
                <w:color w:val="auto"/>
                <w:sz w:val="24"/>
                <w:szCs w:val="24"/>
              </w:rPr>
              <w:t>The working group unanimously signed-off the prospectus document and research appendices.</w:t>
            </w:r>
          </w:p>
          <w:p w:rsidR="00A65C39" w:rsidRPr="00A65C39" w:rsidRDefault="00A65C39" w:rsidP="009043C6">
            <w:pPr>
              <w:rPr>
                <w:rFonts w:ascii="Calibri" w:hAnsi="Calibri"/>
                <w:b/>
                <w:color w:val="auto"/>
                <w:sz w:val="24"/>
                <w:szCs w:val="24"/>
                <w:u w:val="single"/>
              </w:rPr>
            </w:pPr>
            <w:r w:rsidRPr="00A65C39">
              <w:rPr>
                <w:rFonts w:ascii="Calibri" w:hAnsi="Calibri"/>
                <w:b/>
                <w:color w:val="auto"/>
                <w:sz w:val="24"/>
                <w:szCs w:val="24"/>
                <w:u w:val="single"/>
              </w:rPr>
              <w:t>It must be noted that the Social Enterprise Working Group has</w:t>
            </w:r>
            <w:r w:rsidR="008970E8">
              <w:rPr>
                <w:rFonts w:ascii="Calibri" w:hAnsi="Calibri"/>
                <w:b/>
                <w:color w:val="auto"/>
                <w:sz w:val="24"/>
                <w:szCs w:val="24"/>
                <w:u w:val="single"/>
              </w:rPr>
              <w:t xml:space="preserve"> developed</w:t>
            </w:r>
            <w:bookmarkStart w:id="0" w:name="_GoBack"/>
            <w:bookmarkEnd w:id="0"/>
            <w:r w:rsidRPr="00A65C39">
              <w:rPr>
                <w:rFonts w:ascii="Calibri" w:hAnsi="Calibri"/>
                <w:b/>
                <w:color w:val="auto"/>
                <w:sz w:val="24"/>
                <w:szCs w:val="24"/>
                <w:u w:val="single"/>
              </w:rPr>
              <w:t xml:space="preserve"> and owns th</w:t>
            </w:r>
            <w:r w:rsidR="00631202">
              <w:rPr>
                <w:rFonts w:ascii="Calibri" w:hAnsi="Calibri"/>
                <w:b/>
                <w:color w:val="auto"/>
                <w:sz w:val="24"/>
                <w:szCs w:val="24"/>
                <w:u w:val="single"/>
              </w:rPr>
              <w:t>e</w:t>
            </w:r>
            <w:r w:rsidRPr="00A65C39">
              <w:rPr>
                <w:rFonts w:ascii="Calibri" w:hAnsi="Calibri"/>
                <w:b/>
                <w:color w:val="auto"/>
                <w:sz w:val="24"/>
                <w:szCs w:val="24"/>
                <w:u w:val="single"/>
              </w:rPr>
              <w:t xml:space="preserve"> </w:t>
            </w:r>
            <w:r w:rsidR="00631202">
              <w:rPr>
                <w:rFonts w:ascii="Calibri" w:hAnsi="Calibri"/>
                <w:b/>
                <w:color w:val="auto"/>
                <w:sz w:val="24"/>
                <w:szCs w:val="24"/>
                <w:u w:val="single"/>
              </w:rPr>
              <w:t>Social Enterprise P</w:t>
            </w:r>
            <w:r w:rsidRPr="00A65C39">
              <w:rPr>
                <w:rFonts w:ascii="Calibri" w:hAnsi="Calibri"/>
                <w:b/>
                <w:color w:val="auto"/>
                <w:sz w:val="24"/>
                <w:szCs w:val="24"/>
                <w:u w:val="single"/>
              </w:rPr>
              <w:t>rospectus</w:t>
            </w:r>
            <w:r>
              <w:rPr>
                <w:rFonts w:ascii="Calibri" w:hAnsi="Calibri"/>
                <w:b/>
                <w:color w:val="auto"/>
                <w:sz w:val="24"/>
                <w:szCs w:val="24"/>
                <w:u w:val="single"/>
              </w:rPr>
              <w:t>.</w:t>
            </w:r>
            <w:r w:rsidRPr="00A65C39">
              <w:rPr>
                <w:rFonts w:ascii="Calibri" w:hAnsi="Calibri"/>
                <w:b/>
                <w:color w:val="auto"/>
                <w:sz w:val="24"/>
                <w:szCs w:val="24"/>
                <w:u w:val="single"/>
              </w:rPr>
              <w:t xml:space="preserve"> However, for this to be treated as a ‘SELEP document’ it requires final endorsement from the Strategic Board – this will be taken to the Strategic Board</w:t>
            </w:r>
            <w:r>
              <w:rPr>
                <w:rFonts w:ascii="Calibri" w:hAnsi="Calibri"/>
                <w:b/>
                <w:color w:val="auto"/>
                <w:sz w:val="24"/>
                <w:szCs w:val="24"/>
                <w:u w:val="single"/>
              </w:rPr>
              <w:t xml:space="preserve"> meeting</w:t>
            </w:r>
            <w:r w:rsidRPr="00A65C39">
              <w:rPr>
                <w:rFonts w:ascii="Calibri" w:hAnsi="Calibri"/>
                <w:b/>
                <w:color w:val="auto"/>
                <w:sz w:val="24"/>
                <w:szCs w:val="24"/>
                <w:u w:val="single"/>
              </w:rPr>
              <w:t xml:space="preserve"> in December 2019.</w:t>
            </w:r>
          </w:p>
        </w:tc>
      </w:tr>
      <w:tr w:rsidR="00E41B5C" w:rsidRPr="008B1489" w:rsidTr="00404383">
        <w:tc>
          <w:tcPr>
            <w:tcW w:w="2972" w:type="dxa"/>
          </w:tcPr>
          <w:p w:rsidR="00E41B5C" w:rsidRPr="008B1489" w:rsidRDefault="00A65C39" w:rsidP="005F29FF">
            <w:pPr>
              <w:rPr>
                <w:rFonts w:ascii="Calibri" w:hAnsi="Calibri"/>
                <w:color w:val="auto"/>
                <w:sz w:val="24"/>
                <w:szCs w:val="24"/>
              </w:rPr>
            </w:pPr>
            <w:r>
              <w:rPr>
                <w:rFonts w:ascii="Calibri" w:hAnsi="Calibri"/>
                <w:color w:val="auto"/>
                <w:sz w:val="24"/>
                <w:szCs w:val="24"/>
              </w:rPr>
              <w:lastRenderedPageBreak/>
              <w:t>Prospectus Engagement Plan</w:t>
            </w:r>
            <w:r w:rsidR="00E41B5C" w:rsidRPr="008B1489">
              <w:rPr>
                <w:rFonts w:ascii="Calibri" w:hAnsi="Calibri"/>
                <w:color w:val="auto"/>
                <w:sz w:val="24"/>
                <w:szCs w:val="24"/>
              </w:rPr>
              <w:t xml:space="preserve"> </w:t>
            </w:r>
          </w:p>
        </w:tc>
        <w:tc>
          <w:tcPr>
            <w:tcW w:w="6044" w:type="dxa"/>
          </w:tcPr>
          <w:p w:rsidR="00A65C39" w:rsidRDefault="00A65C39" w:rsidP="00F42216">
            <w:pPr>
              <w:rPr>
                <w:rFonts w:ascii="Calibri" w:hAnsi="Calibri"/>
                <w:color w:val="auto"/>
                <w:sz w:val="24"/>
                <w:szCs w:val="24"/>
              </w:rPr>
            </w:pPr>
            <w:r>
              <w:rPr>
                <w:rFonts w:ascii="Calibri" w:hAnsi="Calibri"/>
                <w:color w:val="auto"/>
                <w:sz w:val="24"/>
                <w:szCs w:val="24"/>
              </w:rPr>
              <w:t>The group were notified of the current engagement plan process, particularly engagement with SELEP federated boards.</w:t>
            </w:r>
          </w:p>
          <w:p w:rsidR="00E41B5C" w:rsidRPr="00A65C39" w:rsidRDefault="00A65C39" w:rsidP="00F42216">
            <w:pPr>
              <w:rPr>
                <w:rFonts w:ascii="Calibri" w:hAnsi="Calibri"/>
                <w:b/>
                <w:color w:val="auto"/>
                <w:sz w:val="24"/>
                <w:szCs w:val="24"/>
              </w:rPr>
            </w:pPr>
            <w:r>
              <w:rPr>
                <w:rFonts w:ascii="Calibri" w:hAnsi="Calibri"/>
                <w:b/>
                <w:color w:val="auto"/>
                <w:sz w:val="24"/>
                <w:szCs w:val="24"/>
              </w:rPr>
              <w:t xml:space="preserve">ACTION: </w:t>
            </w:r>
            <w:r>
              <w:rPr>
                <w:rFonts w:ascii="Calibri" w:hAnsi="Calibri"/>
                <w:color w:val="auto"/>
                <w:sz w:val="24"/>
                <w:szCs w:val="24"/>
              </w:rPr>
              <w:t xml:space="preserve">Suggest any additional stakeholders/groups to engage with on this. </w:t>
            </w:r>
            <w:r>
              <w:rPr>
                <w:rFonts w:ascii="Calibri" w:hAnsi="Calibri"/>
                <w:b/>
                <w:color w:val="auto"/>
                <w:sz w:val="24"/>
                <w:szCs w:val="24"/>
              </w:rPr>
              <w:t>ALL</w:t>
            </w:r>
          </w:p>
        </w:tc>
      </w:tr>
      <w:tr w:rsidR="00A65C39" w:rsidRPr="008B1489" w:rsidTr="00404383">
        <w:tc>
          <w:tcPr>
            <w:tcW w:w="2972" w:type="dxa"/>
          </w:tcPr>
          <w:p w:rsidR="00A65C39" w:rsidRDefault="00A65C39" w:rsidP="005F29FF">
            <w:pPr>
              <w:rPr>
                <w:rFonts w:ascii="Calibri" w:hAnsi="Calibri"/>
                <w:color w:val="auto"/>
                <w:sz w:val="24"/>
                <w:szCs w:val="24"/>
              </w:rPr>
            </w:pPr>
            <w:r>
              <w:rPr>
                <w:rFonts w:ascii="Calibri" w:hAnsi="Calibri"/>
                <w:color w:val="auto"/>
                <w:sz w:val="24"/>
                <w:szCs w:val="24"/>
              </w:rPr>
              <w:t>Sector Support Fund – potential bid</w:t>
            </w:r>
          </w:p>
        </w:tc>
        <w:tc>
          <w:tcPr>
            <w:tcW w:w="6044" w:type="dxa"/>
          </w:tcPr>
          <w:p w:rsidR="00A65C39" w:rsidRDefault="00A65C39" w:rsidP="00F42216">
            <w:pPr>
              <w:rPr>
                <w:rFonts w:ascii="Calibri" w:hAnsi="Calibri"/>
                <w:color w:val="auto"/>
                <w:sz w:val="24"/>
                <w:szCs w:val="24"/>
              </w:rPr>
            </w:pPr>
            <w:r>
              <w:rPr>
                <w:rFonts w:ascii="Calibri" w:hAnsi="Calibri"/>
                <w:color w:val="auto"/>
                <w:sz w:val="24"/>
                <w:szCs w:val="24"/>
              </w:rPr>
              <w:t>It was noted that the Sector Support Fund (SSF) might be an effective avenue to bid for funding to achieve some of the strategic aims outlined in the prospectus.</w:t>
            </w:r>
          </w:p>
          <w:p w:rsidR="00A65C39" w:rsidRDefault="00A65C39" w:rsidP="00F42216">
            <w:pPr>
              <w:rPr>
                <w:rFonts w:ascii="Calibri" w:hAnsi="Calibri"/>
                <w:color w:val="auto"/>
                <w:sz w:val="24"/>
                <w:szCs w:val="24"/>
              </w:rPr>
            </w:pPr>
            <w:r>
              <w:rPr>
                <w:rFonts w:ascii="Calibri" w:hAnsi="Calibri"/>
                <w:color w:val="auto"/>
                <w:sz w:val="24"/>
                <w:szCs w:val="24"/>
              </w:rPr>
              <w:t>The group put forward the idea of masterclasses or the creation of a social impact framework</w:t>
            </w:r>
            <w:r w:rsidR="00E13DE0">
              <w:rPr>
                <w:rFonts w:ascii="Calibri" w:hAnsi="Calibri"/>
                <w:color w:val="auto"/>
                <w:sz w:val="24"/>
                <w:szCs w:val="24"/>
              </w:rPr>
              <w:t>.</w:t>
            </w:r>
          </w:p>
          <w:p w:rsidR="00E13DE0" w:rsidRDefault="00E13DE0" w:rsidP="00F42216">
            <w:pPr>
              <w:rPr>
                <w:rFonts w:ascii="Calibri" w:hAnsi="Calibri"/>
                <w:color w:val="auto"/>
                <w:sz w:val="24"/>
                <w:szCs w:val="24"/>
              </w:rPr>
            </w:pPr>
            <w:r>
              <w:rPr>
                <w:rFonts w:ascii="Calibri" w:hAnsi="Calibri"/>
                <w:color w:val="auto"/>
                <w:sz w:val="24"/>
                <w:szCs w:val="24"/>
              </w:rPr>
              <w:t>Given the short timescales it was suggested that an idea be worked up with the ambition to take it to the working group in December for approval. Assuming SSF is still available, this will be sent before the January 31</w:t>
            </w:r>
            <w:r w:rsidRPr="00E13DE0">
              <w:rPr>
                <w:rFonts w:ascii="Calibri" w:hAnsi="Calibri"/>
                <w:color w:val="auto"/>
                <w:sz w:val="24"/>
                <w:szCs w:val="24"/>
                <w:vertAlign w:val="superscript"/>
              </w:rPr>
              <w:t>st</w:t>
            </w:r>
            <w:proofErr w:type="gramStart"/>
            <w:r>
              <w:rPr>
                <w:rFonts w:ascii="Calibri" w:hAnsi="Calibri"/>
                <w:color w:val="auto"/>
                <w:sz w:val="24"/>
                <w:szCs w:val="24"/>
              </w:rPr>
              <w:t xml:space="preserve"> 2020</w:t>
            </w:r>
            <w:proofErr w:type="gramEnd"/>
            <w:r>
              <w:rPr>
                <w:rFonts w:ascii="Calibri" w:hAnsi="Calibri"/>
                <w:color w:val="auto"/>
                <w:sz w:val="24"/>
                <w:szCs w:val="24"/>
              </w:rPr>
              <w:t xml:space="preserve"> deadline to the Strategic Board for approval in March 2020.</w:t>
            </w:r>
          </w:p>
          <w:p w:rsidR="00E13DE0" w:rsidRPr="00E13DE0" w:rsidRDefault="00E13DE0" w:rsidP="00F42216">
            <w:pPr>
              <w:rPr>
                <w:rFonts w:ascii="Calibri" w:hAnsi="Calibri"/>
                <w:b/>
                <w:color w:val="auto"/>
                <w:sz w:val="24"/>
                <w:szCs w:val="24"/>
              </w:rPr>
            </w:pPr>
            <w:r>
              <w:rPr>
                <w:rFonts w:ascii="Calibri" w:hAnsi="Calibri"/>
                <w:b/>
                <w:color w:val="auto"/>
                <w:sz w:val="24"/>
                <w:szCs w:val="24"/>
              </w:rPr>
              <w:t xml:space="preserve">ACTION: </w:t>
            </w:r>
            <w:r>
              <w:rPr>
                <w:rFonts w:ascii="Calibri" w:hAnsi="Calibri"/>
                <w:color w:val="auto"/>
                <w:sz w:val="24"/>
                <w:szCs w:val="24"/>
              </w:rPr>
              <w:t xml:space="preserve">Set up a conference call with interest working group members to form up an SSF bid. </w:t>
            </w:r>
            <w:r>
              <w:rPr>
                <w:rFonts w:ascii="Calibri" w:hAnsi="Calibri"/>
                <w:b/>
                <w:color w:val="auto"/>
                <w:sz w:val="24"/>
                <w:szCs w:val="24"/>
              </w:rPr>
              <w:t xml:space="preserve">Alex Riley </w:t>
            </w:r>
          </w:p>
        </w:tc>
      </w:tr>
      <w:tr w:rsidR="00E13DE0" w:rsidRPr="008B1489" w:rsidTr="00404383">
        <w:tc>
          <w:tcPr>
            <w:tcW w:w="2972" w:type="dxa"/>
          </w:tcPr>
          <w:p w:rsidR="00E13DE0" w:rsidRDefault="00F6239D" w:rsidP="005F29FF">
            <w:pPr>
              <w:rPr>
                <w:rFonts w:ascii="Calibri" w:hAnsi="Calibri"/>
                <w:color w:val="auto"/>
                <w:sz w:val="24"/>
                <w:szCs w:val="24"/>
              </w:rPr>
            </w:pPr>
            <w:r>
              <w:rPr>
                <w:rFonts w:ascii="Calibri" w:hAnsi="Calibri"/>
                <w:color w:val="auto"/>
                <w:sz w:val="24"/>
                <w:szCs w:val="24"/>
              </w:rPr>
              <w:t>AOB</w:t>
            </w:r>
          </w:p>
        </w:tc>
        <w:tc>
          <w:tcPr>
            <w:tcW w:w="6044" w:type="dxa"/>
          </w:tcPr>
          <w:p w:rsidR="00F6239D" w:rsidRPr="00631202" w:rsidRDefault="00F6239D" w:rsidP="00F6239D">
            <w:pPr>
              <w:rPr>
                <w:rFonts w:ascii="Calibri" w:hAnsi="Calibri"/>
                <w:b/>
                <w:color w:val="auto"/>
                <w:sz w:val="24"/>
                <w:szCs w:val="24"/>
              </w:rPr>
            </w:pPr>
            <w:r w:rsidRPr="00631202">
              <w:rPr>
                <w:rFonts w:ascii="Calibri" w:hAnsi="Calibri"/>
                <w:b/>
                <w:color w:val="auto"/>
                <w:sz w:val="24"/>
                <w:szCs w:val="24"/>
              </w:rPr>
              <w:t>Please send through key items for AOB to Alex Riley and these will be sent to the working group via email update.</w:t>
            </w:r>
          </w:p>
          <w:p w:rsidR="00F6239D" w:rsidRDefault="00F6239D" w:rsidP="00F6239D">
            <w:pPr>
              <w:rPr>
                <w:rFonts w:ascii="Calibri" w:hAnsi="Calibri"/>
                <w:color w:val="auto"/>
                <w:sz w:val="24"/>
                <w:szCs w:val="24"/>
              </w:rPr>
            </w:pPr>
            <w:r>
              <w:rPr>
                <w:rFonts w:ascii="Calibri" w:hAnsi="Calibri"/>
                <w:color w:val="auto"/>
                <w:sz w:val="24"/>
                <w:szCs w:val="24"/>
              </w:rPr>
              <w:t>Meeting Closed</w:t>
            </w:r>
          </w:p>
          <w:p w:rsidR="00631202" w:rsidRDefault="00631202" w:rsidP="00F6239D">
            <w:pPr>
              <w:rPr>
                <w:rFonts w:ascii="Calibri" w:hAnsi="Calibri"/>
                <w:color w:val="auto"/>
                <w:sz w:val="24"/>
                <w:szCs w:val="24"/>
              </w:rPr>
            </w:pPr>
          </w:p>
          <w:p w:rsidR="00F6239D" w:rsidRDefault="00F6239D" w:rsidP="00F6239D">
            <w:pPr>
              <w:rPr>
                <w:rFonts w:ascii="Calibri" w:hAnsi="Calibri"/>
                <w:color w:val="auto"/>
                <w:sz w:val="24"/>
                <w:szCs w:val="24"/>
              </w:rPr>
            </w:pPr>
            <w:r>
              <w:rPr>
                <w:rFonts w:ascii="Calibri" w:hAnsi="Calibri"/>
                <w:color w:val="auto"/>
                <w:sz w:val="24"/>
                <w:szCs w:val="24"/>
              </w:rPr>
              <w:t>The next meeting is scheduled 4</w:t>
            </w:r>
            <w:r w:rsidRPr="00F6239D">
              <w:rPr>
                <w:rFonts w:ascii="Calibri" w:hAnsi="Calibri"/>
                <w:color w:val="auto"/>
                <w:sz w:val="24"/>
                <w:szCs w:val="24"/>
                <w:vertAlign w:val="superscript"/>
              </w:rPr>
              <w:t>th</w:t>
            </w:r>
            <w:r>
              <w:rPr>
                <w:rFonts w:ascii="Calibri" w:hAnsi="Calibri"/>
                <w:color w:val="auto"/>
                <w:sz w:val="24"/>
                <w:szCs w:val="24"/>
              </w:rPr>
              <w:t xml:space="preserve"> December at Mary Sumner House.</w:t>
            </w:r>
          </w:p>
          <w:p w:rsidR="00631202" w:rsidRPr="00F6239D" w:rsidRDefault="00631202" w:rsidP="00F6239D">
            <w:pPr>
              <w:rPr>
                <w:rFonts w:ascii="Calibri" w:hAnsi="Calibri"/>
                <w:color w:val="auto"/>
                <w:sz w:val="24"/>
                <w:szCs w:val="24"/>
              </w:rPr>
            </w:pPr>
            <w:r>
              <w:rPr>
                <w:rFonts w:ascii="Calibri" w:hAnsi="Calibri"/>
                <w:color w:val="auto"/>
                <w:sz w:val="24"/>
                <w:szCs w:val="24"/>
              </w:rPr>
              <w:t>Future meeting dates for 2020 will be sent round to the working group in due course.</w:t>
            </w:r>
          </w:p>
        </w:tc>
      </w:tr>
    </w:tbl>
    <w:p w:rsidR="003C59BF" w:rsidRPr="008B1489" w:rsidRDefault="003C59BF" w:rsidP="00863369">
      <w:pPr>
        <w:jc w:val="center"/>
        <w:rPr>
          <w:rFonts w:ascii="Calibri" w:hAnsi="Calibri"/>
          <w:color w:val="auto"/>
          <w:sz w:val="24"/>
          <w:szCs w:val="24"/>
        </w:rPr>
      </w:pPr>
    </w:p>
    <w:sectPr w:rsidR="003C59BF" w:rsidRPr="008B1489" w:rsidSect="0092755C">
      <w:headerReference w:type="default" r:id="rId8"/>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1E7" w:rsidRDefault="003B61E7" w:rsidP="004B2E64">
      <w:pPr>
        <w:spacing w:after="0" w:line="240" w:lineRule="auto"/>
      </w:pPr>
      <w:r>
        <w:separator/>
      </w:r>
    </w:p>
  </w:endnote>
  <w:endnote w:type="continuationSeparator" w:id="0">
    <w:p w:rsidR="003B61E7" w:rsidRDefault="003B61E7" w:rsidP="004B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1E7" w:rsidRDefault="003B61E7" w:rsidP="004B2E64">
      <w:pPr>
        <w:spacing w:after="0" w:line="240" w:lineRule="auto"/>
      </w:pPr>
      <w:r>
        <w:separator/>
      </w:r>
    </w:p>
  </w:footnote>
  <w:footnote w:type="continuationSeparator" w:id="0">
    <w:p w:rsidR="003B61E7" w:rsidRDefault="003B61E7" w:rsidP="004B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AD0" w:rsidRDefault="008B1489" w:rsidP="003C59BF">
    <w:pPr>
      <w:pStyle w:val="Header"/>
      <w:jc w:val="right"/>
    </w:pPr>
    <w:r>
      <w:rPr>
        <w:noProof/>
        <w:lang w:eastAsia="en-GB"/>
      </w:rPr>
      <w:drawing>
        <wp:anchor distT="0" distB="0" distL="114300" distR="114300" simplePos="0" relativeHeight="251658240" behindDoc="0" locked="0" layoutInCell="1" allowOverlap="1" wp14:anchorId="5DB6C60E" wp14:editId="47D8DD41">
          <wp:simplePos x="0" y="0"/>
          <wp:positionH relativeFrom="margin">
            <wp:posOffset>-590550</wp:posOffset>
          </wp:positionH>
          <wp:positionV relativeFrom="paragraph">
            <wp:posOffset>-127000</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r w:rsidR="00E83430">
      <w:t>18</w:t>
    </w:r>
    <w:r w:rsidR="00E83430" w:rsidRPr="00E83430">
      <w:rPr>
        <w:vertAlign w:val="superscript"/>
      </w:rPr>
      <w:t>th</w:t>
    </w:r>
    <w:r w:rsidR="00E83430">
      <w:t xml:space="preserve"> September</w:t>
    </w:r>
    <w:r w:rsidR="00F42216">
      <w:t xml:space="preserve"> 2019 1.30PM</w:t>
    </w:r>
  </w:p>
  <w:p w:rsidR="001B1AD0" w:rsidRPr="00C23E0D" w:rsidRDefault="001B1AD0" w:rsidP="00C23E0D">
    <w:pPr>
      <w:jc w:val="right"/>
    </w:pPr>
    <w:r>
      <w:t>Mary Sumner House</w:t>
    </w:r>
  </w:p>
  <w:p w:rsidR="001B1AD0" w:rsidRDefault="001B1AD0" w:rsidP="003C59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C5"/>
    <w:multiLevelType w:val="hybridMultilevel"/>
    <w:tmpl w:val="F2CAEA0E"/>
    <w:lvl w:ilvl="0" w:tplc="B0AC59EE">
      <w:start w:val="1"/>
      <w:numFmt w:val="bullet"/>
      <w:lvlText w:val="•"/>
      <w:lvlJc w:val="left"/>
      <w:pPr>
        <w:tabs>
          <w:tab w:val="num" w:pos="720"/>
        </w:tabs>
        <w:ind w:left="720" w:hanging="360"/>
      </w:pPr>
      <w:rPr>
        <w:rFonts w:ascii="Arial" w:hAnsi="Arial" w:hint="default"/>
      </w:rPr>
    </w:lvl>
    <w:lvl w:ilvl="1" w:tplc="5EE26C48" w:tentative="1">
      <w:start w:val="1"/>
      <w:numFmt w:val="bullet"/>
      <w:lvlText w:val="•"/>
      <w:lvlJc w:val="left"/>
      <w:pPr>
        <w:tabs>
          <w:tab w:val="num" w:pos="1440"/>
        </w:tabs>
        <w:ind w:left="1440" w:hanging="360"/>
      </w:pPr>
      <w:rPr>
        <w:rFonts w:ascii="Arial" w:hAnsi="Arial" w:hint="default"/>
      </w:rPr>
    </w:lvl>
    <w:lvl w:ilvl="2" w:tplc="A1ACE8EE" w:tentative="1">
      <w:start w:val="1"/>
      <w:numFmt w:val="bullet"/>
      <w:lvlText w:val="•"/>
      <w:lvlJc w:val="left"/>
      <w:pPr>
        <w:tabs>
          <w:tab w:val="num" w:pos="2160"/>
        </w:tabs>
        <w:ind w:left="2160" w:hanging="360"/>
      </w:pPr>
      <w:rPr>
        <w:rFonts w:ascii="Arial" w:hAnsi="Arial" w:hint="default"/>
      </w:rPr>
    </w:lvl>
    <w:lvl w:ilvl="3" w:tplc="8F32EDBE" w:tentative="1">
      <w:start w:val="1"/>
      <w:numFmt w:val="bullet"/>
      <w:lvlText w:val="•"/>
      <w:lvlJc w:val="left"/>
      <w:pPr>
        <w:tabs>
          <w:tab w:val="num" w:pos="2880"/>
        </w:tabs>
        <w:ind w:left="2880" w:hanging="360"/>
      </w:pPr>
      <w:rPr>
        <w:rFonts w:ascii="Arial" w:hAnsi="Arial" w:hint="default"/>
      </w:rPr>
    </w:lvl>
    <w:lvl w:ilvl="4" w:tplc="4E928AA6" w:tentative="1">
      <w:start w:val="1"/>
      <w:numFmt w:val="bullet"/>
      <w:lvlText w:val="•"/>
      <w:lvlJc w:val="left"/>
      <w:pPr>
        <w:tabs>
          <w:tab w:val="num" w:pos="3600"/>
        </w:tabs>
        <w:ind w:left="3600" w:hanging="360"/>
      </w:pPr>
      <w:rPr>
        <w:rFonts w:ascii="Arial" w:hAnsi="Arial" w:hint="default"/>
      </w:rPr>
    </w:lvl>
    <w:lvl w:ilvl="5" w:tplc="7F127A06" w:tentative="1">
      <w:start w:val="1"/>
      <w:numFmt w:val="bullet"/>
      <w:lvlText w:val="•"/>
      <w:lvlJc w:val="left"/>
      <w:pPr>
        <w:tabs>
          <w:tab w:val="num" w:pos="4320"/>
        </w:tabs>
        <w:ind w:left="4320" w:hanging="360"/>
      </w:pPr>
      <w:rPr>
        <w:rFonts w:ascii="Arial" w:hAnsi="Arial" w:hint="default"/>
      </w:rPr>
    </w:lvl>
    <w:lvl w:ilvl="6" w:tplc="9E62A736" w:tentative="1">
      <w:start w:val="1"/>
      <w:numFmt w:val="bullet"/>
      <w:lvlText w:val="•"/>
      <w:lvlJc w:val="left"/>
      <w:pPr>
        <w:tabs>
          <w:tab w:val="num" w:pos="5040"/>
        </w:tabs>
        <w:ind w:left="5040" w:hanging="360"/>
      </w:pPr>
      <w:rPr>
        <w:rFonts w:ascii="Arial" w:hAnsi="Arial" w:hint="default"/>
      </w:rPr>
    </w:lvl>
    <w:lvl w:ilvl="7" w:tplc="69F65D76" w:tentative="1">
      <w:start w:val="1"/>
      <w:numFmt w:val="bullet"/>
      <w:lvlText w:val="•"/>
      <w:lvlJc w:val="left"/>
      <w:pPr>
        <w:tabs>
          <w:tab w:val="num" w:pos="5760"/>
        </w:tabs>
        <w:ind w:left="5760" w:hanging="360"/>
      </w:pPr>
      <w:rPr>
        <w:rFonts w:ascii="Arial" w:hAnsi="Arial" w:hint="default"/>
      </w:rPr>
    </w:lvl>
    <w:lvl w:ilvl="8" w:tplc="02A02D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5A7C7B"/>
    <w:multiLevelType w:val="hybridMultilevel"/>
    <w:tmpl w:val="96BE5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64E4B"/>
    <w:multiLevelType w:val="hybridMultilevel"/>
    <w:tmpl w:val="767C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C5A1D"/>
    <w:multiLevelType w:val="hybridMultilevel"/>
    <w:tmpl w:val="A9B4D3BE"/>
    <w:lvl w:ilvl="0" w:tplc="2AEE52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1FB640D"/>
    <w:multiLevelType w:val="hybridMultilevel"/>
    <w:tmpl w:val="1848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330BD"/>
    <w:multiLevelType w:val="hybridMultilevel"/>
    <w:tmpl w:val="1F46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D3600"/>
    <w:multiLevelType w:val="hybridMultilevel"/>
    <w:tmpl w:val="E7820B8E"/>
    <w:lvl w:ilvl="0" w:tplc="934A1BA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05250E"/>
    <w:multiLevelType w:val="hybridMultilevel"/>
    <w:tmpl w:val="9ED26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01199A"/>
    <w:multiLevelType w:val="hybridMultilevel"/>
    <w:tmpl w:val="DDA8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C2B7A"/>
    <w:multiLevelType w:val="hybridMultilevel"/>
    <w:tmpl w:val="5DFA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C64DD"/>
    <w:multiLevelType w:val="hybridMultilevel"/>
    <w:tmpl w:val="68866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D27C2"/>
    <w:multiLevelType w:val="hybridMultilevel"/>
    <w:tmpl w:val="9B521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967D2"/>
    <w:multiLevelType w:val="hybridMultilevel"/>
    <w:tmpl w:val="5234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8715E04"/>
    <w:multiLevelType w:val="hybridMultilevel"/>
    <w:tmpl w:val="F98C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6"/>
  </w:num>
  <w:num w:numId="4">
    <w:abstractNumId w:val="3"/>
  </w:num>
  <w:num w:numId="5">
    <w:abstractNumId w:val="18"/>
  </w:num>
  <w:num w:numId="6">
    <w:abstractNumId w:val="15"/>
  </w:num>
  <w:num w:numId="7">
    <w:abstractNumId w:val="14"/>
  </w:num>
  <w:num w:numId="8">
    <w:abstractNumId w:val="13"/>
  </w:num>
  <w:num w:numId="9">
    <w:abstractNumId w:val="4"/>
  </w:num>
  <w:num w:numId="10">
    <w:abstractNumId w:val="9"/>
  </w:num>
  <w:num w:numId="11">
    <w:abstractNumId w:val="0"/>
  </w:num>
  <w:num w:numId="12">
    <w:abstractNumId w:val="12"/>
  </w:num>
  <w:num w:numId="13">
    <w:abstractNumId w:val="1"/>
  </w:num>
  <w:num w:numId="14">
    <w:abstractNumId w:val="10"/>
  </w:num>
  <w:num w:numId="15">
    <w:abstractNumId w:val="8"/>
  </w:num>
  <w:num w:numId="16">
    <w:abstractNumId w:val="5"/>
  </w:num>
  <w:num w:numId="17">
    <w:abstractNumId w:val="7"/>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49"/>
    <w:rsid w:val="00022E6E"/>
    <w:rsid w:val="000337B0"/>
    <w:rsid w:val="00060FC5"/>
    <w:rsid w:val="00093C62"/>
    <w:rsid w:val="00096AA0"/>
    <w:rsid w:val="00097C3E"/>
    <w:rsid w:val="000A72E9"/>
    <w:rsid w:val="000B403D"/>
    <w:rsid w:val="000C0A18"/>
    <w:rsid w:val="000C0E52"/>
    <w:rsid w:val="000D18FB"/>
    <w:rsid w:val="000D377D"/>
    <w:rsid w:val="000D6D67"/>
    <w:rsid w:val="000D6EBB"/>
    <w:rsid w:val="000E2475"/>
    <w:rsid w:val="000E388A"/>
    <w:rsid w:val="001064E6"/>
    <w:rsid w:val="00127BEF"/>
    <w:rsid w:val="0013430F"/>
    <w:rsid w:val="00151A06"/>
    <w:rsid w:val="001535DD"/>
    <w:rsid w:val="00174EFF"/>
    <w:rsid w:val="00194592"/>
    <w:rsid w:val="001B1AD0"/>
    <w:rsid w:val="001B6580"/>
    <w:rsid w:val="001F413A"/>
    <w:rsid w:val="00204A8F"/>
    <w:rsid w:val="002219C8"/>
    <w:rsid w:val="0023688E"/>
    <w:rsid w:val="00263F1E"/>
    <w:rsid w:val="00274901"/>
    <w:rsid w:val="002A227E"/>
    <w:rsid w:val="002B1F88"/>
    <w:rsid w:val="002E46EC"/>
    <w:rsid w:val="002E65A3"/>
    <w:rsid w:val="002F4537"/>
    <w:rsid w:val="003002DB"/>
    <w:rsid w:val="00303657"/>
    <w:rsid w:val="00311764"/>
    <w:rsid w:val="0032311C"/>
    <w:rsid w:val="003244AB"/>
    <w:rsid w:val="003451A5"/>
    <w:rsid w:val="00364349"/>
    <w:rsid w:val="003775E2"/>
    <w:rsid w:val="003927ED"/>
    <w:rsid w:val="003942EA"/>
    <w:rsid w:val="003B2212"/>
    <w:rsid w:val="003B61E7"/>
    <w:rsid w:val="003C59BF"/>
    <w:rsid w:val="003E4F96"/>
    <w:rsid w:val="003E52BC"/>
    <w:rsid w:val="003F38D9"/>
    <w:rsid w:val="003F3F46"/>
    <w:rsid w:val="00404383"/>
    <w:rsid w:val="004402DA"/>
    <w:rsid w:val="00457598"/>
    <w:rsid w:val="00495CBB"/>
    <w:rsid w:val="004A328F"/>
    <w:rsid w:val="004B2E64"/>
    <w:rsid w:val="004D2EA7"/>
    <w:rsid w:val="004D3527"/>
    <w:rsid w:val="004D3985"/>
    <w:rsid w:val="004E7DD0"/>
    <w:rsid w:val="004F656B"/>
    <w:rsid w:val="00511099"/>
    <w:rsid w:val="005563FB"/>
    <w:rsid w:val="005733F6"/>
    <w:rsid w:val="00575B0B"/>
    <w:rsid w:val="005B50E0"/>
    <w:rsid w:val="005F29FF"/>
    <w:rsid w:val="005F6EE1"/>
    <w:rsid w:val="00606337"/>
    <w:rsid w:val="00631202"/>
    <w:rsid w:val="00633C49"/>
    <w:rsid w:val="006404FF"/>
    <w:rsid w:val="00653A78"/>
    <w:rsid w:val="0065521E"/>
    <w:rsid w:val="006701C8"/>
    <w:rsid w:val="00676967"/>
    <w:rsid w:val="00676D0E"/>
    <w:rsid w:val="006C5BB2"/>
    <w:rsid w:val="006D137B"/>
    <w:rsid w:val="006E7547"/>
    <w:rsid w:val="006F3B63"/>
    <w:rsid w:val="007054E8"/>
    <w:rsid w:val="00711E4B"/>
    <w:rsid w:val="00712922"/>
    <w:rsid w:val="0072444D"/>
    <w:rsid w:val="007402C8"/>
    <w:rsid w:val="007411AF"/>
    <w:rsid w:val="00753376"/>
    <w:rsid w:val="0075504F"/>
    <w:rsid w:val="00790EB8"/>
    <w:rsid w:val="007975F5"/>
    <w:rsid w:val="007B6252"/>
    <w:rsid w:val="007F1A3C"/>
    <w:rsid w:val="007F6A0D"/>
    <w:rsid w:val="008268C0"/>
    <w:rsid w:val="00831234"/>
    <w:rsid w:val="0084740F"/>
    <w:rsid w:val="00863369"/>
    <w:rsid w:val="00873139"/>
    <w:rsid w:val="008876ED"/>
    <w:rsid w:val="008970E8"/>
    <w:rsid w:val="008A10E4"/>
    <w:rsid w:val="008A3C85"/>
    <w:rsid w:val="008B1489"/>
    <w:rsid w:val="008B3609"/>
    <w:rsid w:val="008E0152"/>
    <w:rsid w:val="009043C6"/>
    <w:rsid w:val="009138D8"/>
    <w:rsid w:val="0092755C"/>
    <w:rsid w:val="00940D92"/>
    <w:rsid w:val="0094227B"/>
    <w:rsid w:val="00950E28"/>
    <w:rsid w:val="00991E3B"/>
    <w:rsid w:val="009950C8"/>
    <w:rsid w:val="009B164A"/>
    <w:rsid w:val="009C4EB2"/>
    <w:rsid w:val="009D39C3"/>
    <w:rsid w:val="009D4A76"/>
    <w:rsid w:val="009E2A48"/>
    <w:rsid w:val="009E75EC"/>
    <w:rsid w:val="009F7E49"/>
    <w:rsid w:val="00A0210C"/>
    <w:rsid w:val="00A5244F"/>
    <w:rsid w:val="00A57EBE"/>
    <w:rsid w:val="00A65C39"/>
    <w:rsid w:val="00A87999"/>
    <w:rsid w:val="00AB571D"/>
    <w:rsid w:val="00AB6A4F"/>
    <w:rsid w:val="00AD3318"/>
    <w:rsid w:val="00AD7FF5"/>
    <w:rsid w:val="00AE15A3"/>
    <w:rsid w:val="00AE6725"/>
    <w:rsid w:val="00B10F1C"/>
    <w:rsid w:val="00B11A97"/>
    <w:rsid w:val="00B20D09"/>
    <w:rsid w:val="00B269C2"/>
    <w:rsid w:val="00B32FDF"/>
    <w:rsid w:val="00B57037"/>
    <w:rsid w:val="00B847F8"/>
    <w:rsid w:val="00B874DA"/>
    <w:rsid w:val="00B9255A"/>
    <w:rsid w:val="00B953B4"/>
    <w:rsid w:val="00BC38C2"/>
    <w:rsid w:val="00BC6AD2"/>
    <w:rsid w:val="00BD34AF"/>
    <w:rsid w:val="00BE3B23"/>
    <w:rsid w:val="00BE726E"/>
    <w:rsid w:val="00BF0115"/>
    <w:rsid w:val="00BF5718"/>
    <w:rsid w:val="00C0180C"/>
    <w:rsid w:val="00C23E0D"/>
    <w:rsid w:val="00C2479C"/>
    <w:rsid w:val="00C2783F"/>
    <w:rsid w:val="00C3577C"/>
    <w:rsid w:val="00C42782"/>
    <w:rsid w:val="00C71D19"/>
    <w:rsid w:val="00C85AB2"/>
    <w:rsid w:val="00C865C0"/>
    <w:rsid w:val="00CD0398"/>
    <w:rsid w:val="00CF6A66"/>
    <w:rsid w:val="00D006D7"/>
    <w:rsid w:val="00D06EEB"/>
    <w:rsid w:val="00D1012E"/>
    <w:rsid w:val="00D222E2"/>
    <w:rsid w:val="00D2413D"/>
    <w:rsid w:val="00D25DF1"/>
    <w:rsid w:val="00D430E2"/>
    <w:rsid w:val="00D51097"/>
    <w:rsid w:val="00DB346C"/>
    <w:rsid w:val="00DD2296"/>
    <w:rsid w:val="00DE1239"/>
    <w:rsid w:val="00DE2869"/>
    <w:rsid w:val="00E00EB6"/>
    <w:rsid w:val="00E10E0A"/>
    <w:rsid w:val="00E13DE0"/>
    <w:rsid w:val="00E41B5C"/>
    <w:rsid w:val="00E46947"/>
    <w:rsid w:val="00E7054E"/>
    <w:rsid w:val="00E83430"/>
    <w:rsid w:val="00ED3247"/>
    <w:rsid w:val="00EE1FA2"/>
    <w:rsid w:val="00EE57F8"/>
    <w:rsid w:val="00EE622F"/>
    <w:rsid w:val="00EF7760"/>
    <w:rsid w:val="00F42216"/>
    <w:rsid w:val="00F444F3"/>
    <w:rsid w:val="00F6239D"/>
    <w:rsid w:val="00F7394A"/>
    <w:rsid w:val="00F80104"/>
    <w:rsid w:val="00F87B0C"/>
    <w:rsid w:val="00FD2217"/>
    <w:rsid w:val="00FF04E9"/>
    <w:rsid w:val="00FF4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C40FD6"/>
  <w15:docId w15:val="{5A4FE6AC-7BAB-4E9D-A7AB-EBE6D41A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099"/>
    <w:pPr>
      <w:spacing w:after="200"/>
    </w:pPr>
    <w:rPr>
      <w:rFonts w:ascii="Open Sans" w:hAnsi="Open Sans" w:cs="Open Sans"/>
      <w:color w:val="3C3C3B" w:themeColor="text2"/>
      <w:sz w:val="20"/>
      <w:szCs w:val="21"/>
      <w:shd w:val="clear" w:color="auto" w:fill="FFFFFF"/>
    </w:rPr>
  </w:style>
  <w:style w:type="paragraph" w:styleId="Heading1">
    <w:name w:val="heading 1"/>
    <w:basedOn w:val="Normal"/>
    <w:next w:val="Normal"/>
    <w:link w:val="Heading1Char"/>
    <w:uiPriority w:val="9"/>
    <w:rsid w:val="00C0180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line="240" w:lineRule="auto"/>
      <w:outlineLvl w:val="1"/>
    </w:pPr>
    <w:rPr>
      <w:rFonts w:eastAsiaTheme="majorEastAsia"/>
      <w:caps/>
      <w:color w:val="44BCCD" w:themeColor="accent3"/>
      <w:sz w:val="26"/>
      <w:szCs w:val="28"/>
      <w:shd w:val="clear" w:color="auto" w:fill="auto"/>
    </w:rPr>
  </w:style>
  <w:style w:type="paragraph" w:styleId="Heading3">
    <w:name w:val="heading 3"/>
    <w:basedOn w:val="Normal"/>
    <w:next w:val="Normal"/>
    <w:link w:val="Heading3Char"/>
    <w:uiPriority w:val="9"/>
    <w:unhideWhenUsed/>
    <w:qFormat/>
    <w:rsid w:val="00511099"/>
    <w:pPr>
      <w:keepNext/>
      <w:keepLines/>
      <w:spacing w:before="60" w:line="240" w:lineRule="auto"/>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after="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after="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after="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after="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pPr>
      <w:spacing w:line="240" w:lineRule="auto"/>
    </w:pPr>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line="240" w:lineRule="auto"/>
      <w:outlineLvl w:val="0"/>
    </w:pPr>
    <w:rPr>
      <w:rFonts w:ascii="Museo 300" w:hAnsi="Museo 300"/>
      <w:noProof/>
      <w:color w:val="EA5B0C" w:themeColor="accent2"/>
      <w:sz w:val="50"/>
      <w:szCs w:val="50"/>
      <w:shd w:val="clear" w:color="auto" w:fill="auto"/>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 w:val="24"/>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rPr>
      <w:sz w:val="24"/>
      <w:shd w:val="clear" w:color="auto" w:fill="auto"/>
    </w:r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table" w:customStyle="1" w:styleId="TableGrid1">
    <w:name w:val="Table Grid1"/>
    <w:basedOn w:val="TableNormal"/>
    <w:next w:val="TableGrid"/>
    <w:uiPriority w:val="39"/>
    <w:rsid w:val="000C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59BF"/>
    <w:rPr>
      <w:sz w:val="16"/>
      <w:szCs w:val="16"/>
    </w:rPr>
  </w:style>
  <w:style w:type="paragraph" w:styleId="CommentText">
    <w:name w:val="annotation text"/>
    <w:basedOn w:val="Normal"/>
    <w:link w:val="CommentTextChar"/>
    <w:uiPriority w:val="99"/>
    <w:semiHidden/>
    <w:unhideWhenUsed/>
    <w:rsid w:val="003C59BF"/>
    <w:pPr>
      <w:spacing w:after="0" w:line="240" w:lineRule="auto"/>
    </w:pPr>
    <w:rPr>
      <w:rFonts w:ascii="Times New Roman" w:eastAsia="Times New Roman" w:hAnsi="Times New Roman" w:cs="Times New Roman"/>
      <w:color w:val="auto"/>
      <w:szCs w:val="20"/>
      <w:shd w:val="clear" w:color="auto" w:fill="auto"/>
      <w:lang w:eastAsia="en-US"/>
    </w:rPr>
  </w:style>
  <w:style w:type="character" w:customStyle="1" w:styleId="CommentTextChar">
    <w:name w:val="Comment Text Char"/>
    <w:basedOn w:val="DefaultParagraphFont"/>
    <w:link w:val="CommentText"/>
    <w:uiPriority w:val="99"/>
    <w:semiHidden/>
    <w:rsid w:val="003C59B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61920">
      <w:bodyDiv w:val="1"/>
      <w:marLeft w:val="0"/>
      <w:marRight w:val="0"/>
      <w:marTop w:val="0"/>
      <w:marBottom w:val="0"/>
      <w:divBdr>
        <w:top w:val="none" w:sz="0" w:space="0" w:color="auto"/>
        <w:left w:val="none" w:sz="0" w:space="0" w:color="auto"/>
        <w:bottom w:val="none" w:sz="0" w:space="0" w:color="auto"/>
        <w:right w:val="none" w:sz="0" w:space="0" w:color="auto"/>
      </w:divBdr>
    </w:div>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639383416">
      <w:bodyDiv w:val="1"/>
      <w:marLeft w:val="0"/>
      <w:marRight w:val="0"/>
      <w:marTop w:val="0"/>
      <w:marBottom w:val="0"/>
      <w:divBdr>
        <w:top w:val="none" w:sz="0" w:space="0" w:color="auto"/>
        <w:left w:val="none" w:sz="0" w:space="0" w:color="auto"/>
        <w:bottom w:val="none" w:sz="0" w:space="0" w:color="auto"/>
        <w:right w:val="none" w:sz="0" w:space="0" w:color="auto"/>
      </w:divBdr>
    </w:div>
    <w:div w:id="8446319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386">
          <w:marLeft w:val="446"/>
          <w:marRight w:val="0"/>
          <w:marTop w:val="0"/>
          <w:marBottom w:val="0"/>
          <w:divBdr>
            <w:top w:val="none" w:sz="0" w:space="0" w:color="auto"/>
            <w:left w:val="none" w:sz="0" w:space="0" w:color="auto"/>
            <w:bottom w:val="none" w:sz="0" w:space="0" w:color="auto"/>
            <w:right w:val="none" w:sz="0" w:space="0" w:color="auto"/>
          </w:divBdr>
        </w:div>
        <w:div w:id="263878586">
          <w:marLeft w:val="446"/>
          <w:marRight w:val="0"/>
          <w:marTop w:val="0"/>
          <w:marBottom w:val="0"/>
          <w:divBdr>
            <w:top w:val="none" w:sz="0" w:space="0" w:color="auto"/>
            <w:left w:val="none" w:sz="0" w:space="0" w:color="auto"/>
            <w:bottom w:val="none" w:sz="0" w:space="0" w:color="auto"/>
            <w:right w:val="none" w:sz="0" w:space="0" w:color="auto"/>
          </w:divBdr>
        </w:div>
        <w:div w:id="437914398">
          <w:marLeft w:val="446"/>
          <w:marRight w:val="0"/>
          <w:marTop w:val="0"/>
          <w:marBottom w:val="0"/>
          <w:divBdr>
            <w:top w:val="none" w:sz="0" w:space="0" w:color="auto"/>
            <w:left w:val="none" w:sz="0" w:space="0" w:color="auto"/>
            <w:bottom w:val="none" w:sz="0" w:space="0" w:color="auto"/>
            <w:right w:val="none" w:sz="0" w:space="0" w:color="auto"/>
          </w:divBdr>
        </w:div>
        <w:div w:id="2025740718">
          <w:marLeft w:val="446"/>
          <w:marRight w:val="0"/>
          <w:marTop w:val="0"/>
          <w:marBottom w:val="0"/>
          <w:divBdr>
            <w:top w:val="none" w:sz="0" w:space="0" w:color="auto"/>
            <w:left w:val="none" w:sz="0" w:space="0" w:color="auto"/>
            <w:bottom w:val="none" w:sz="0" w:space="0" w:color="auto"/>
            <w:right w:val="none" w:sz="0" w:space="0" w:color="auto"/>
          </w:divBdr>
        </w:div>
        <w:div w:id="2145808302">
          <w:marLeft w:val="547"/>
          <w:marRight w:val="0"/>
          <w:marTop w:val="0"/>
          <w:marBottom w:val="0"/>
          <w:divBdr>
            <w:top w:val="none" w:sz="0" w:space="0" w:color="auto"/>
            <w:left w:val="none" w:sz="0" w:space="0" w:color="auto"/>
            <w:bottom w:val="none" w:sz="0" w:space="0" w:color="auto"/>
            <w:right w:val="none" w:sz="0" w:space="0" w:color="auto"/>
          </w:divBdr>
        </w:div>
        <w:div w:id="376662238">
          <w:marLeft w:val="446"/>
          <w:marRight w:val="0"/>
          <w:marTop w:val="0"/>
          <w:marBottom w:val="0"/>
          <w:divBdr>
            <w:top w:val="none" w:sz="0" w:space="0" w:color="auto"/>
            <w:left w:val="none" w:sz="0" w:space="0" w:color="auto"/>
            <w:bottom w:val="none" w:sz="0" w:space="0" w:color="auto"/>
            <w:right w:val="none" w:sz="0" w:space="0" w:color="auto"/>
          </w:divBdr>
        </w:div>
        <w:div w:id="31924125">
          <w:marLeft w:val="446"/>
          <w:marRight w:val="0"/>
          <w:marTop w:val="0"/>
          <w:marBottom w:val="0"/>
          <w:divBdr>
            <w:top w:val="none" w:sz="0" w:space="0" w:color="auto"/>
            <w:left w:val="none" w:sz="0" w:space="0" w:color="auto"/>
            <w:bottom w:val="none" w:sz="0" w:space="0" w:color="auto"/>
            <w:right w:val="none" w:sz="0" w:space="0" w:color="auto"/>
          </w:divBdr>
        </w:div>
        <w:div w:id="50924645">
          <w:marLeft w:val="446"/>
          <w:marRight w:val="0"/>
          <w:marTop w:val="0"/>
          <w:marBottom w:val="0"/>
          <w:divBdr>
            <w:top w:val="none" w:sz="0" w:space="0" w:color="auto"/>
            <w:left w:val="none" w:sz="0" w:space="0" w:color="auto"/>
            <w:bottom w:val="none" w:sz="0" w:space="0" w:color="auto"/>
            <w:right w:val="none" w:sz="0" w:space="0" w:color="auto"/>
          </w:divBdr>
        </w:div>
        <w:div w:id="53629655">
          <w:marLeft w:val="446"/>
          <w:marRight w:val="0"/>
          <w:marTop w:val="0"/>
          <w:marBottom w:val="0"/>
          <w:divBdr>
            <w:top w:val="none" w:sz="0" w:space="0" w:color="auto"/>
            <w:left w:val="none" w:sz="0" w:space="0" w:color="auto"/>
            <w:bottom w:val="none" w:sz="0" w:space="0" w:color="auto"/>
            <w:right w:val="none" w:sz="0" w:space="0" w:color="auto"/>
          </w:divBdr>
        </w:div>
      </w:divsChild>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370565954">
      <w:bodyDiv w:val="1"/>
      <w:marLeft w:val="0"/>
      <w:marRight w:val="0"/>
      <w:marTop w:val="0"/>
      <w:marBottom w:val="0"/>
      <w:divBdr>
        <w:top w:val="none" w:sz="0" w:space="0" w:color="auto"/>
        <w:left w:val="none" w:sz="0" w:space="0" w:color="auto"/>
        <w:bottom w:val="none" w:sz="0" w:space="0" w:color="auto"/>
        <w:right w:val="none" w:sz="0" w:space="0" w:color="auto"/>
      </w:divBdr>
    </w:div>
    <w:div w:id="1544371067">
      <w:bodyDiv w:val="1"/>
      <w:marLeft w:val="0"/>
      <w:marRight w:val="0"/>
      <w:marTop w:val="0"/>
      <w:marBottom w:val="0"/>
      <w:divBdr>
        <w:top w:val="none" w:sz="0" w:space="0" w:color="auto"/>
        <w:left w:val="none" w:sz="0" w:space="0" w:color="auto"/>
        <w:bottom w:val="none" w:sz="0" w:space="0" w:color="auto"/>
        <w:right w:val="none" w:sz="0" w:space="0" w:color="auto"/>
      </w:divBdr>
    </w:div>
    <w:div w:id="1566797888">
      <w:bodyDiv w:val="1"/>
      <w:marLeft w:val="0"/>
      <w:marRight w:val="0"/>
      <w:marTop w:val="0"/>
      <w:marBottom w:val="0"/>
      <w:divBdr>
        <w:top w:val="none" w:sz="0" w:space="0" w:color="auto"/>
        <w:left w:val="none" w:sz="0" w:space="0" w:color="auto"/>
        <w:bottom w:val="none" w:sz="0" w:space="0" w:color="auto"/>
        <w:right w:val="none" w:sz="0" w:space="0" w:color="auto"/>
      </w:divBdr>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 w:id="1639922112">
      <w:bodyDiv w:val="1"/>
      <w:marLeft w:val="0"/>
      <w:marRight w:val="0"/>
      <w:marTop w:val="0"/>
      <w:marBottom w:val="0"/>
      <w:divBdr>
        <w:top w:val="none" w:sz="0" w:space="0" w:color="auto"/>
        <w:left w:val="none" w:sz="0" w:space="0" w:color="auto"/>
        <w:bottom w:val="none" w:sz="0" w:space="0" w:color="auto"/>
        <w:right w:val="none" w:sz="0" w:space="0" w:color="auto"/>
      </w:divBdr>
    </w:div>
    <w:div w:id="1657150695">
      <w:bodyDiv w:val="1"/>
      <w:marLeft w:val="0"/>
      <w:marRight w:val="0"/>
      <w:marTop w:val="0"/>
      <w:marBottom w:val="0"/>
      <w:divBdr>
        <w:top w:val="none" w:sz="0" w:space="0" w:color="auto"/>
        <w:left w:val="none" w:sz="0" w:space="0" w:color="auto"/>
        <w:bottom w:val="none" w:sz="0" w:space="0" w:color="auto"/>
        <w:right w:val="none" w:sz="0" w:space="0" w:color="auto"/>
      </w:divBdr>
    </w:div>
    <w:div w:id="1750956319">
      <w:bodyDiv w:val="1"/>
      <w:marLeft w:val="0"/>
      <w:marRight w:val="0"/>
      <w:marTop w:val="0"/>
      <w:marBottom w:val="0"/>
      <w:divBdr>
        <w:top w:val="none" w:sz="0" w:space="0" w:color="auto"/>
        <w:left w:val="none" w:sz="0" w:space="0" w:color="auto"/>
        <w:bottom w:val="none" w:sz="0" w:space="0" w:color="auto"/>
        <w:right w:val="none" w:sz="0" w:space="0" w:color="auto"/>
      </w:divBdr>
    </w:div>
    <w:div w:id="1807310079">
      <w:bodyDiv w:val="1"/>
      <w:marLeft w:val="0"/>
      <w:marRight w:val="0"/>
      <w:marTop w:val="0"/>
      <w:marBottom w:val="0"/>
      <w:divBdr>
        <w:top w:val="none" w:sz="0" w:space="0" w:color="auto"/>
        <w:left w:val="none" w:sz="0" w:space="0" w:color="auto"/>
        <w:bottom w:val="none" w:sz="0" w:space="0" w:color="auto"/>
        <w:right w:val="none" w:sz="0" w:space="0" w:color="auto"/>
      </w:divBdr>
    </w:div>
    <w:div w:id="20921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Props1.xml><?xml version="1.0" encoding="utf-8"?>
<ds:datastoreItem xmlns:ds="http://schemas.openxmlformats.org/officeDocument/2006/customXml" ds:itemID="{7C12D687-D2E8-4585-B3F9-BB056DBE1DA1}">
  <ds:schemaRefs>
    <ds:schemaRef ds:uri="http://schemas.openxmlformats.org/officeDocument/2006/bibliography"/>
  </ds:schemaRefs>
</ds:datastoreItem>
</file>

<file path=customXml/itemProps2.xml><?xml version="1.0" encoding="utf-8"?>
<ds:datastoreItem xmlns:ds="http://schemas.openxmlformats.org/officeDocument/2006/customXml" ds:itemID="{B6973975-E971-4CB6-BD9B-4763A814F77F}"/>
</file>

<file path=customXml/itemProps3.xml><?xml version="1.0" encoding="utf-8"?>
<ds:datastoreItem xmlns:ds="http://schemas.openxmlformats.org/officeDocument/2006/customXml" ds:itemID="{AA9459A0-7FF8-4741-9D65-6A98C920CAD5}"/>
</file>

<file path=customXml/itemProps4.xml><?xml version="1.0" encoding="utf-8"?>
<ds:datastoreItem xmlns:ds="http://schemas.openxmlformats.org/officeDocument/2006/customXml" ds:itemID="{DF1F6696-5F8D-4F1C-B6F9-5287F9379A8F}"/>
</file>

<file path=docProps/app.xml><?xml version="1.0" encoding="utf-8"?>
<Properties xmlns="http://schemas.openxmlformats.org/officeDocument/2006/extended-properties" xmlns:vt="http://schemas.openxmlformats.org/officeDocument/2006/docPropsVTypes">
  <Template>Normal</Template>
  <TotalTime>93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lucy.payne</dc:creator>
  <cp:lastModifiedBy>Alexander Riley, Programme Manager - SELEP</cp:lastModifiedBy>
  <cp:revision>7</cp:revision>
  <cp:lastPrinted>2019-06-11T10:22:00Z</cp:lastPrinted>
  <dcterms:created xsi:type="dcterms:W3CDTF">2019-09-24T12:31:00Z</dcterms:created>
  <dcterms:modified xsi:type="dcterms:W3CDTF">2019-09-24T14:12:00Z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