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BF" w:rsidRPr="008B1489" w:rsidRDefault="003C59BF" w:rsidP="003C59BF">
      <w:pPr>
        <w:rPr>
          <w:rFonts w:ascii="Calibri" w:hAnsi="Calibri"/>
          <w:color w:val="auto"/>
          <w:sz w:val="24"/>
          <w:szCs w:val="24"/>
        </w:rPr>
      </w:pPr>
    </w:p>
    <w:p w:rsidR="003C59BF" w:rsidRPr="008B1489" w:rsidRDefault="003C59BF" w:rsidP="003C59BF">
      <w:pPr>
        <w:spacing w:after="100" w:afterAutospacing="1"/>
        <w:jc w:val="center"/>
        <w:rPr>
          <w:rFonts w:ascii="Calibri" w:eastAsia="Batang" w:hAnsi="Calibri" w:cs="Arial"/>
          <w:b/>
          <w:color w:val="auto"/>
          <w:sz w:val="24"/>
          <w:szCs w:val="24"/>
        </w:rPr>
      </w:pPr>
      <w:r w:rsidRPr="008B1489">
        <w:rPr>
          <w:rFonts w:ascii="Calibri" w:eastAsia="Batang" w:hAnsi="Calibri" w:cs="Arial"/>
          <w:b/>
          <w:color w:val="auto"/>
          <w:sz w:val="24"/>
          <w:szCs w:val="24"/>
        </w:rPr>
        <w:t>South East Social Enterprise Network (SESEN)</w:t>
      </w:r>
    </w:p>
    <w:p w:rsidR="003C59BF" w:rsidRPr="008B1489" w:rsidRDefault="003C59BF" w:rsidP="003C59BF">
      <w:pPr>
        <w:spacing w:after="100" w:afterAutospacing="1"/>
        <w:jc w:val="center"/>
        <w:rPr>
          <w:rFonts w:ascii="Calibri" w:eastAsia="Batang" w:hAnsi="Calibri" w:cs="Arial"/>
          <w:b/>
          <w:color w:val="auto"/>
          <w:sz w:val="24"/>
          <w:szCs w:val="24"/>
        </w:rPr>
      </w:pPr>
      <w:r w:rsidRPr="008B1489">
        <w:rPr>
          <w:rFonts w:ascii="Calibri" w:eastAsia="Batang" w:hAnsi="Calibri" w:cs="Arial"/>
          <w:b/>
          <w:color w:val="auto"/>
          <w:sz w:val="24"/>
          <w:szCs w:val="24"/>
        </w:rPr>
        <w:t>(Working Group to SELEP)</w:t>
      </w:r>
    </w:p>
    <w:p w:rsidR="003C59BF" w:rsidRDefault="003E4F96" w:rsidP="008B1489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5th February 2019 1:30PM</w:t>
      </w:r>
    </w:p>
    <w:p w:rsidR="00DE1239" w:rsidRPr="008B1489" w:rsidRDefault="00DE1239" w:rsidP="008B1489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1489" w:rsidRPr="008B1489" w:rsidTr="003C59BF">
        <w:tc>
          <w:tcPr>
            <w:tcW w:w="4621" w:type="dxa"/>
          </w:tcPr>
          <w:p w:rsidR="003C59BF" w:rsidRPr="008B1489" w:rsidRDefault="001B1AD0" w:rsidP="001B1AD0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Welcome &amp; Introductions</w:t>
            </w:r>
          </w:p>
        </w:tc>
        <w:tc>
          <w:tcPr>
            <w:tcW w:w="4621" w:type="dxa"/>
          </w:tcPr>
          <w:p w:rsidR="003C59BF" w:rsidRPr="008B1489" w:rsidRDefault="00303657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Penny </w:t>
            </w:r>
            <w:proofErr w:type="spellStart"/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Shimmi</w:t>
            </w:r>
            <w:r w:rsidR="001B1AD0" w:rsidRPr="008B1489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proofErr w:type="spellEnd"/>
            <w:r w:rsidR="00C23E0D"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B1489" w:rsidRPr="008B1489" w:rsidTr="003C59BF">
        <w:tc>
          <w:tcPr>
            <w:tcW w:w="4621" w:type="dxa"/>
          </w:tcPr>
          <w:p w:rsidR="003C59BF" w:rsidRPr="008B1489" w:rsidRDefault="00C23E0D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Recap on Previous Session &amp; Review of Notes </w:t>
            </w:r>
          </w:p>
        </w:tc>
        <w:tc>
          <w:tcPr>
            <w:tcW w:w="4621" w:type="dxa"/>
          </w:tcPr>
          <w:p w:rsidR="003C59BF" w:rsidRDefault="00C23E0D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Penny </w:t>
            </w:r>
            <w:proofErr w:type="spellStart"/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Shimmin</w:t>
            </w:r>
            <w:proofErr w:type="spellEnd"/>
          </w:p>
          <w:p w:rsidR="00B953B4" w:rsidRDefault="00B953B4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Penny provided an overview of the previous session and noted progress on the Prospectus, which has now been drafted ad circulated. </w:t>
            </w:r>
          </w:p>
          <w:p w:rsidR="00B953B4" w:rsidRPr="008B1489" w:rsidRDefault="00B953B4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Discussion as per agenda item to feedback to Nicky Stevenson. </w:t>
            </w:r>
          </w:p>
        </w:tc>
      </w:tr>
      <w:tr w:rsidR="00753376" w:rsidRPr="008B1489" w:rsidTr="003C59BF">
        <w:tc>
          <w:tcPr>
            <w:tcW w:w="4621" w:type="dxa"/>
          </w:tcPr>
          <w:p w:rsidR="00753376" w:rsidRPr="008B1489" w:rsidRDefault="00790EB8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Social Enterprise Prospectus</w:t>
            </w:r>
            <w:r w:rsidR="00F42216">
              <w:rPr>
                <w:rFonts w:ascii="Calibri" w:hAnsi="Calibri"/>
                <w:color w:val="auto"/>
                <w:sz w:val="24"/>
                <w:szCs w:val="24"/>
              </w:rPr>
              <w:t xml:space="preserve"> – Final Review of Draft </w:t>
            </w: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753376" w:rsidRPr="008B1489" w:rsidRDefault="00790EB8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Nicky Stevenson </w:t>
            </w:r>
            <w:r w:rsidR="00F42216">
              <w:rPr>
                <w:rFonts w:ascii="Calibri" w:hAnsi="Calibri"/>
                <w:color w:val="auto"/>
                <w:sz w:val="24"/>
                <w:szCs w:val="24"/>
              </w:rPr>
              <w:t xml:space="preserve">– Via conference call facility </w:t>
            </w:r>
          </w:p>
        </w:tc>
      </w:tr>
      <w:tr w:rsidR="008B1489" w:rsidRPr="008B1489" w:rsidTr="003C59BF">
        <w:tc>
          <w:tcPr>
            <w:tcW w:w="4621" w:type="dxa"/>
          </w:tcPr>
          <w:p w:rsidR="00060FC5" w:rsidRPr="008B1489" w:rsidRDefault="002A227E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Launch of Social Enterpri</w:t>
            </w:r>
            <w:r w:rsidR="00F42216">
              <w:rPr>
                <w:rFonts w:ascii="Calibri" w:hAnsi="Calibri"/>
                <w:color w:val="auto"/>
                <w:sz w:val="24"/>
                <w:szCs w:val="24"/>
              </w:rPr>
              <w:t xml:space="preserve">se Prospectus – Proposed Schedule / Action Plan </w:t>
            </w:r>
          </w:p>
        </w:tc>
        <w:tc>
          <w:tcPr>
            <w:tcW w:w="4621" w:type="dxa"/>
          </w:tcPr>
          <w:p w:rsidR="00060FC5" w:rsidRPr="008B1489" w:rsidRDefault="00060FC5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Lucy Spencer-Lawrence </w:t>
            </w:r>
          </w:p>
        </w:tc>
      </w:tr>
      <w:tr w:rsidR="002A227E" w:rsidRPr="008B1489" w:rsidTr="003C59BF">
        <w:tc>
          <w:tcPr>
            <w:tcW w:w="4621" w:type="dxa"/>
          </w:tcPr>
          <w:p w:rsidR="002A227E" w:rsidRPr="008B1489" w:rsidRDefault="00F42216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Update on Social Investment and Social Supply Chains</w:t>
            </w:r>
          </w:p>
        </w:tc>
        <w:tc>
          <w:tcPr>
            <w:tcW w:w="4621" w:type="dxa"/>
          </w:tcPr>
          <w:p w:rsidR="002A227E" w:rsidRDefault="00F42216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Beth</w:t>
            </w:r>
            <w:r w:rsidR="00D25DF1">
              <w:rPr>
                <w:rFonts w:ascii="Calibri" w:hAnsi="Calibri"/>
                <w:color w:val="auto"/>
                <w:sz w:val="24"/>
                <w:szCs w:val="24"/>
              </w:rPr>
              <w:t xml:space="preserve"> Pilgrim, 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Supply Change (Sam Scharf, Orbit to introduce) </w:t>
            </w:r>
          </w:p>
          <w:p w:rsidR="00B953B4" w:rsidRDefault="00B953B4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  <w:p w:rsidR="00B953B4" w:rsidRDefault="00B953B4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Beth provided an overview to the group to update on progress. </w:t>
            </w:r>
          </w:p>
          <w:p w:rsidR="00B953B4" w:rsidRDefault="00B953B4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See embedded slides:</w:t>
            </w:r>
          </w:p>
          <w:p w:rsidR="00B953B4" w:rsidRDefault="00B953B4" w:rsidP="00D25DF1">
            <w:r>
              <w:object w:dxaOrig="155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owerPoint.Show.12" ShapeID="_x0000_i1025" DrawAspect="Icon" ObjectID="_1618236835" r:id="rId10"/>
              </w:object>
            </w:r>
          </w:p>
          <w:p w:rsidR="00E41B5C" w:rsidRDefault="00B953B4" w:rsidP="00D25DF1">
            <w:r>
              <w:t>Currently testing the model. There is an ambition to collaborate with Local Authorities, Housing Associations and the NHS Trusts.</w:t>
            </w:r>
          </w:p>
          <w:p w:rsidR="00B953B4" w:rsidRDefault="00E41B5C" w:rsidP="00D25DF1">
            <w:r>
              <w:t>Group recommended liaison with Kent County Council procurement model and the Social Value work underway in East Sussex</w:t>
            </w:r>
            <w:r w:rsidR="00B953B4">
              <w:t xml:space="preserve"> </w:t>
            </w:r>
          </w:p>
          <w:p w:rsidR="00B953B4" w:rsidRDefault="00B953B4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t xml:space="preserve">Actions: Beth to liaise with County Council </w:t>
            </w:r>
            <w:r>
              <w:lastRenderedPageBreak/>
              <w:t>Procurement Managers</w:t>
            </w:r>
          </w:p>
          <w:p w:rsidR="00B953B4" w:rsidRPr="008B1489" w:rsidRDefault="00B953B4" w:rsidP="00D25DF1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B1489" w:rsidRPr="008B1489" w:rsidTr="003C59BF">
        <w:tc>
          <w:tcPr>
            <w:tcW w:w="4621" w:type="dxa"/>
          </w:tcPr>
          <w:p w:rsidR="004A328F" w:rsidRPr="008B1489" w:rsidRDefault="00311764" w:rsidP="00311764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 xml:space="preserve">Update on support for the business sector on Brexit  </w:t>
            </w:r>
          </w:p>
        </w:tc>
        <w:tc>
          <w:tcPr>
            <w:tcW w:w="4621" w:type="dxa"/>
          </w:tcPr>
          <w:p w:rsidR="00311764" w:rsidRDefault="00311764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Suzanne Lowe, </w:t>
            </w: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Dept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for Media, Culture &amp; Sport </w:t>
            </w:r>
          </w:p>
          <w:p w:rsidR="00E41B5C" w:rsidRDefault="00E41B5C" w:rsidP="00E41B5C">
            <w:pPr>
              <w:contextualSpacing/>
            </w:pPr>
            <w:r>
              <w:t>Suzanne is now working on the</w:t>
            </w:r>
            <w:r>
              <w:t xml:space="preserve"> economic</w:t>
            </w:r>
            <w:r>
              <w:t xml:space="preserve"> taskforce on data protection and undertaking </w:t>
            </w:r>
            <w:r>
              <w:t xml:space="preserve">planning in relation to no deal scenario </w:t>
            </w:r>
          </w:p>
          <w:p w:rsidR="00E41B5C" w:rsidRDefault="00E41B5C" w:rsidP="00E41B5C">
            <w:pPr>
              <w:contextualSpacing/>
            </w:pPr>
          </w:p>
          <w:p w:rsidR="00E41B5C" w:rsidRDefault="00E41B5C" w:rsidP="00E41B5C">
            <w:pPr>
              <w:contextualSpacing/>
            </w:pPr>
            <w:r>
              <w:t>Highlighted that the department is</w:t>
            </w:r>
            <w:r>
              <w:t xml:space="preserve"> responsible for digital</w:t>
            </w:r>
            <w:r>
              <w:t xml:space="preserve"> and data protection agenda. I</w:t>
            </w:r>
            <w:r>
              <w:t xml:space="preserve">mplications for no deal </w:t>
            </w:r>
            <w:r>
              <w:t>are significant and should be considered, especially if data is held in EU.</w:t>
            </w:r>
          </w:p>
          <w:p w:rsidR="00E41B5C" w:rsidRDefault="00E41B5C" w:rsidP="00E41B5C">
            <w:pPr>
              <w:contextualSpacing/>
              <w:rPr>
                <w:rFonts w:ascii="Calibri" w:hAnsi="Calibri"/>
                <w:color w:val="auto"/>
                <w:sz w:val="24"/>
                <w:szCs w:val="24"/>
              </w:rPr>
            </w:pPr>
          </w:p>
          <w:p w:rsidR="00E41B5C" w:rsidRDefault="00E41B5C" w:rsidP="00E41B5C">
            <w:pPr>
              <w:contextualSpacing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Action: Suzanne to provide guidance documents to the group – Lucy to share for information with meeting notes </w:t>
            </w:r>
          </w:p>
          <w:p w:rsidR="00E41B5C" w:rsidRPr="00E41B5C" w:rsidRDefault="00E41B5C" w:rsidP="00E41B5C">
            <w:pPr>
              <w:contextualSpacing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E41B5C" w:rsidRPr="008B1489" w:rsidTr="003C59BF">
        <w:tc>
          <w:tcPr>
            <w:tcW w:w="4621" w:type="dxa"/>
          </w:tcPr>
          <w:p w:rsidR="00E41B5C" w:rsidRPr="008B1489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Social Enterprise Prospectus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– Final Review of Draft </w:t>
            </w: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Nicky Stevenson 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– Via conference call facility </w:t>
            </w:r>
          </w:p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Group fed back comments on pre </w:t>
            </w:r>
            <w:proofErr w:type="gramStart"/>
            <w:r>
              <w:rPr>
                <w:rFonts w:ascii="Calibri" w:hAnsi="Calibri"/>
                <w:color w:val="auto"/>
                <w:sz w:val="24"/>
                <w:szCs w:val="24"/>
              </w:rPr>
              <w:t>circulated  draft</w:t>
            </w:r>
            <w:proofErr w:type="gram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for Nicky to refine. Key points identified: </w:t>
            </w:r>
          </w:p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Tone and Language of the document to be aspirational and positive </w:t>
            </w:r>
          </w:p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Stylistically want to ensure that Social Enterprises are seen as serious businesses – to draw out this point in the document</w:t>
            </w:r>
          </w:p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Call for action to be developed to give the hooks for the wider partnership to engage </w:t>
            </w:r>
          </w:p>
          <w:p w:rsidR="00E41B5C" w:rsidRPr="008B1489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Need to draw out the priorities to the forefront </w:t>
            </w:r>
          </w:p>
        </w:tc>
      </w:tr>
      <w:tr w:rsidR="00E41B5C" w:rsidRPr="008B1489" w:rsidTr="003C59BF">
        <w:tc>
          <w:tcPr>
            <w:tcW w:w="4621" w:type="dxa"/>
          </w:tcPr>
          <w:p w:rsidR="00E41B5C" w:rsidRPr="008B1489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>Launch of Social Enterpri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se Prospectus – Proposed Schedule / Action Plan </w:t>
            </w:r>
          </w:p>
        </w:tc>
        <w:tc>
          <w:tcPr>
            <w:tcW w:w="4621" w:type="dxa"/>
          </w:tcPr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Lucy Spencer-Lawrence 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discussed next steps </w:t>
            </w:r>
          </w:p>
          <w:p w:rsidR="00E41B5C" w:rsidRDefault="00E41B5C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Group agreed that it would be best to </w:t>
            </w:r>
            <w:r w:rsidR="002219C8">
              <w:rPr>
                <w:rFonts w:ascii="Calibri" w:hAnsi="Calibri"/>
                <w:color w:val="auto"/>
                <w:sz w:val="24"/>
                <w:szCs w:val="24"/>
              </w:rPr>
              <w:t>present the final working draft to the Strategic Board for consideration in October 2019, to enable effective consultation and ensure that the message is embedded well in advance with partners</w:t>
            </w:r>
          </w:p>
          <w:p w:rsidR="002219C8" w:rsidRDefault="002219C8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A launch should follow and this would need 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 xml:space="preserve">to be defined by Lucy’s maternity cover </w:t>
            </w:r>
          </w:p>
          <w:p w:rsidR="002219C8" w:rsidRDefault="002219C8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Action: An engagement plan for the forthcoming period will be circulated </w:t>
            </w:r>
          </w:p>
          <w:p w:rsidR="002219C8" w:rsidRDefault="002219C8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Once ratified an implementation plan will be formulated to ensure that the agreed priorities are taken forward and this is a valuable and truly workable document that can lever opportunities for funding and collaboration</w:t>
            </w:r>
          </w:p>
          <w:p w:rsidR="002219C8" w:rsidRPr="008B1489" w:rsidRDefault="002219C8" w:rsidP="003B1DCA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E41B5C" w:rsidRPr="008B1489" w:rsidTr="003C59BF">
        <w:tc>
          <w:tcPr>
            <w:tcW w:w="4621" w:type="dxa"/>
          </w:tcPr>
          <w:p w:rsidR="00E41B5C" w:rsidRPr="008B1489" w:rsidRDefault="00E41B5C" w:rsidP="005F29F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 xml:space="preserve">Dates of future meetings </w:t>
            </w:r>
          </w:p>
        </w:tc>
        <w:tc>
          <w:tcPr>
            <w:tcW w:w="4621" w:type="dxa"/>
          </w:tcPr>
          <w:p w:rsidR="00D06EEB" w:rsidRDefault="00D06EEB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22nd May 2019 – 1.30pm</w:t>
            </w:r>
            <w:bookmarkStart w:id="0" w:name="_GoBack"/>
            <w:bookmarkEnd w:id="0"/>
          </w:p>
          <w:p w:rsidR="00E41B5C" w:rsidRPr="00F42216" w:rsidRDefault="00E41B5C" w:rsidP="00F42216">
            <w:pPr>
              <w:rPr>
                <w:rFonts w:ascii="Calibri" w:hAnsi="Calibri"/>
                <w:color w:val="auto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18</w:t>
            </w:r>
            <w:r w:rsidRPr="00F42216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September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2019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– 1.30pm  </w:t>
            </w:r>
          </w:p>
          <w:p w:rsidR="00E41B5C" w:rsidRPr="00F42216" w:rsidRDefault="00E41B5C" w:rsidP="00F42216">
            <w:pPr>
              <w:rPr>
                <w:rFonts w:ascii="Calibri" w:hAnsi="Calibri"/>
                <w:color w:val="auto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F42216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December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2019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– 1.30pm   </w:t>
            </w:r>
          </w:p>
          <w:p w:rsidR="00E41B5C" w:rsidRPr="008B1489" w:rsidRDefault="00E41B5C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All taking place at Mary Sumner House, Westminster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All sent via calendar invites. </w:t>
            </w:r>
          </w:p>
        </w:tc>
      </w:tr>
    </w:tbl>
    <w:p w:rsidR="003C59BF" w:rsidRPr="008B1489" w:rsidRDefault="003C59BF" w:rsidP="00863369">
      <w:pPr>
        <w:jc w:val="center"/>
        <w:rPr>
          <w:rFonts w:ascii="Calibri" w:hAnsi="Calibri"/>
          <w:color w:val="auto"/>
          <w:sz w:val="24"/>
          <w:szCs w:val="24"/>
        </w:rPr>
      </w:pPr>
    </w:p>
    <w:sectPr w:rsidR="003C59BF" w:rsidRPr="008B1489" w:rsidSect="0092755C">
      <w:headerReference w:type="default" r:id="rId11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E7" w:rsidRDefault="003B61E7" w:rsidP="004B2E64">
      <w:pPr>
        <w:spacing w:after="0" w:line="240" w:lineRule="auto"/>
      </w:pPr>
      <w:r>
        <w:separator/>
      </w:r>
    </w:p>
  </w:endnote>
  <w:endnote w:type="continuationSeparator" w:id="0">
    <w:p w:rsidR="003B61E7" w:rsidRDefault="003B61E7" w:rsidP="004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E7" w:rsidRDefault="003B61E7" w:rsidP="004B2E64">
      <w:pPr>
        <w:spacing w:after="0" w:line="240" w:lineRule="auto"/>
      </w:pPr>
      <w:r>
        <w:separator/>
      </w:r>
    </w:p>
  </w:footnote>
  <w:footnote w:type="continuationSeparator" w:id="0">
    <w:p w:rsidR="003B61E7" w:rsidRDefault="003B61E7" w:rsidP="004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0" w:rsidRDefault="008B1489" w:rsidP="003C59B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B6C60E" wp14:editId="47D8DD41">
          <wp:simplePos x="0" y="0"/>
          <wp:positionH relativeFrom="margin">
            <wp:posOffset>-590550</wp:posOffset>
          </wp:positionH>
          <wp:positionV relativeFrom="paragraph">
            <wp:posOffset>-127000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216">
      <w:t>5th February 2019 1.30PM</w:t>
    </w:r>
  </w:p>
  <w:p w:rsidR="001B1AD0" w:rsidRPr="00C23E0D" w:rsidRDefault="001B1AD0" w:rsidP="00C23E0D">
    <w:pPr>
      <w:jc w:val="right"/>
    </w:pPr>
    <w:r>
      <w:t>Mary Sumner House</w:t>
    </w:r>
  </w:p>
  <w:p w:rsidR="001B1AD0" w:rsidRDefault="001B1AD0" w:rsidP="003C59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FC5"/>
    <w:multiLevelType w:val="hybridMultilevel"/>
    <w:tmpl w:val="F2CAEA0E"/>
    <w:lvl w:ilvl="0" w:tplc="B0AC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E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8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2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5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2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A7C7B"/>
    <w:multiLevelType w:val="hybridMultilevel"/>
    <w:tmpl w:val="96BE5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4E4B"/>
    <w:multiLevelType w:val="hybridMultilevel"/>
    <w:tmpl w:val="767C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C5A1D"/>
    <w:multiLevelType w:val="hybridMultilevel"/>
    <w:tmpl w:val="A9B4D3BE"/>
    <w:lvl w:ilvl="0" w:tplc="2AEE5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B330BD"/>
    <w:multiLevelType w:val="hybridMultilevel"/>
    <w:tmpl w:val="1F46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D3600"/>
    <w:multiLevelType w:val="hybridMultilevel"/>
    <w:tmpl w:val="E7820B8E"/>
    <w:lvl w:ilvl="0" w:tplc="934A1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5250E"/>
    <w:multiLevelType w:val="hybridMultilevel"/>
    <w:tmpl w:val="9ED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C2B7A"/>
    <w:multiLevelType w:val="hybridMultilevel"/>
    <w:tmpl w:val="5DFA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C64DD"/>
    <w:multiLevelType w:val="hybridMultilevel"/>
    <w:tmpl w:val="68866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27C2"/>
    <w:multiLevelType w:val="hybridMultilevel"/>
    <w:tmpl w:val="9B521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7D2"/>
    <w:multiLevelType w:val="hybridMultilevel"/>
    <w:tmpl w:val="5234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ny Shimmin">
    <w15:presenceInfo w15:providerId="AD" w15:userId="S-1-5-21-2369217114-2251614272-1011634762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9"/>
    <w:rsid w:val="00022E6E"/>
    <w:rsid w:val="000337B0"/>
    <w:rsid w:val="00060FC5"/>
    <w:rsid w:val="00093C62"/>
    <w:rsid w:val="00096AA0"/>
    <w:rsid w:val="00097C3E"/>
    <w:rsid w:val="000A72E9"/>
    <w:rsid w:val="000B403D"/>
    <w:rsid w:val="000C0A18"/>
    <w:rsid w:val="000C0E52"/>
    <w:rsid w:val="000D18FB"/>
    <w:rsid w:val="000D377D"/>
    <w:rsid w:val="000D6D67"/>
    <w:rsid w:val="000D6EBB"/>
    <w:rsid w:val="000E2475"/>
    <w:rsid w:val="000E388A"/>
    <w:rsid w:val="001064E6"/>
    <w:rsid w:val="00127BEF"/>
    <w:rsid w:val="0013430F"/>
    <w:rsid w:val="00151A06"/>
    <w:rsid w:val="001535DD"/>
    <w:rsid w:val="00174EFF"/>
    <w:rsid w:val="00194592"/>
    <w:rsid w:val="001B1AD0"/>
    <w:rsid w:val="001B6580"/>
    <w:rsid w:val="00204A8F"/>
    <w:rsid w:val="002219C8"/>
    <w:rsid w:val="0023688E"/>
    <w:rsid w:val="00263F1E"/>
    <w:rsid w:val="00274901"/>
    <w:rsid w:val="002A227E"/>
    <w:rsid w:val="002B1F88"/>
    <w:rsid w:val="002E46EC"/>
    <w:rsid w:val="002F4537"/>
    <w:rsid w:val="003002DB"/>
    <w:rsid w:val="00303657"/>
    <w:rsid w:val="00311764"/>
    <w:rsid w:val="0032311C"/>
    <w:rsid w:val="003451A5"/>
    <w:rsid w:val="00364349"/>
    <w:rsid w:val="003775E2"/>
    <w:rsid w:val="003927ED"/>
    <w:rsid w:val="003942EA"/>
    <w:rsid w:val="003B2212"/>
    <w:rsid w:val="003B61E7"/>
    <w:rsid w:val="003C59BF"/>
    <w:rsid w:val="003E4F96"/>
    <w:rsid w:val="003E52BC"/>
    <w:rsid w:val="003F3F46"/>
    <w:rsid w:val="004402DA"/>
    <w:rsid w:val="00457598"/>
    <w:rsid w:val="004A328F"/>
    <w:rsid w:val="004B2E64"/>
    <w:rsid w:val="004D2EA7"/>
    <w:rsid w:val="004D3527"/>
    <w:rsid w:val="004D3985"/>
    <w:rsid w:val="004E7DD0"/>
    <w:rsid w:val="004F656B"/>
    <w:rsid w:val="00511099"/>
    <w:rsid w:val="005563FB"/>
    <w:rsid w:val="005733F6"/>
    <w:rsid w:val="00575B0B"/>
    <w:rsid w:val="005F29FF"/>
    <w:rsid w:val="005F6EE1"/>
    <w:rsid w:val="00606337"/>
    <w:rsid w:val="00633C49"/>
    <w:rsid w:val="006404FF"/>
    <w:rsid w:val="00653A78"/>
    <w:rsid w:val="0065521E"/>
    <w:rsid w:val="006701C8"/>
    <w:rsid w:val="00676967"/>
    <w:rsid w:val="00676D0E"/>
    <w:rsid w:val="006C5BB2"/>
    <w:rsid w:val="006D137B"/>
    <w:rsid w:val="006E7547"/>
    <w:rsid w:val="006F3B63"/>
    <w:rsid w:val="00711E4B"/>
    <w:rsid w:val="00712922"/>
    <w:rsid w:val="0072444D"/>
    <w:rsid w:val="007402C8"/>
    <w:rsid w:val="007411AF"/>
    <w:rsid w:val="00753376"/>
    <w:rsid w:val="0075504F"/>
    <w:rsid w:val="00790EB8"/>
    <w:rsid w:val="007975F5"/>
    <w:rsid w:val="007B6252"/>
    <w:rsid w:val="007F1A3C"/>
    <w:rsid w:val="007F6A0D"/>
    <w:rsid w:val="008268C0"/>
    <w:rsid w:val="00831234"/>
    <w:rsid w:val="0084740F"/>
    <w:rsid w:val="00863369"/>
    <w:rsid w:val="00873139"/>
    <w:rsid w:val="008876ED"/>
    <w:rsid w:val="008A10E4"/>
    <w:rsid w:val="008A3C85"/>
    <w:rsid w:val="008B1489"/>
    <w:rsid w:val="008B3609"/>
    <w:rsid w:val="008E0152"/>
    <w:rsid w:val="0092755C"/>
    <w:rsid w:val="00940D92"/>
    <w:rsid w:val="0094227B"/>
    <w:rsid w:val="00950E28"/>
    <w:rsid w:val="00991E3B"/>
    <w:rsid w:val="009950C8"/>
    <w:rsid w:val="009B164A"/>
    <w:rsid w:val="009C4EB2"/>
    <w:rsid w:val="009D39C3"/>
    <w:rsid w:val="009D4A76"/>
    <w:rsid w:val="009E2A48"/>
    <w:rsid w:val="009E75EC"/>
    <w:rsid w:val="009F7E49"/>
    <w:rsid w:val="00A0210C"/>
    <w:rsid w:val="00A5244F"/>
    <w:rsid w:val="00A57EBE"/>
    <w:rsid w:val="00A87999"/>
    <w:rsid w:val="00AB571D"/>
    <w:rsid w:val="00AB6A4F"/>
    <w:rsid w:val="00AD3318"/>
    <w:rsid w:val="00AD7FF5"/>
    <w:rsid w:val="00AE15A3"/>
    <w:rsid w:val="00AE6725"/>
    <w:rsid w:val="00B10F1C"/>
    <w:rsid w:val="00B11A97"/>
    <w:rsid w:val="00B20D09"/>
    <w:rsid w:val="00B269C2"/>
    <w:rsid w:val="00B32FDF"/>
    <w:rsid w:val="00B57037"/>
    <w:rsid w:val="00B847F8"/>
    <w:rsid w:val="00B874DA"/>
    <w:rsid w:val="00B9255A"/>
    <w:rsid w:val="00B953B4"/>
    <w:rsid w:val="00BC38C2"/>
    <w:rsid w:val="00BC6AD2"/>
    <w:rsid w:val="00BD34AF"/>
    <w:rsid w:val="00BE3B23"/>
    <w:rsid w:val="00BE726E"/>
    <w:rsid w:val="00BF0115"/>
    <w:rsid w:val="00BF5718"/>
    <w:rsid w:val="00C0180C"/>
    <w:rsid w:val="00C23E0D"/>
    <w:rsid w:val="00C2479C"/>
    <w:rsid w:val="00C2783F"/>
    <w:rsid w:val="00C3577C"/>
    <w:rsid w:val="00C42782"/>
    <w:rsid w:val="00C71D19"/>
    <w:rsid w:val="00C85AB2"/>
    <w:rsid w:val="00C865C0"/>
    <w:rsid w:val="00CD0398"/>
    <w:rsid w:val="00CF6A66"/>
    <w:rsid w:val="00D006D7"/>
    <w:rsid w:val="00D06EEB"/>
    <w:rsid w:val="00D1012E"/>
    <w:rsid w:val="00D222E2"/>
    <w:rsid w:val="00D2413D"/>
    <w:rsid w:val="00D25DF1"/>
    <w:rsid w:val="00D430E2"/>
    <w:rsid w:val="00D51097"/>
    <w:rsid w:val="00DB346C"/>
    <w:rsid w:val="00DD2296"/>
    <w:rsid w:val="00DE1239"/>
    <w:rsid w:val="00DE2869"/>
    <w:rsid w:val="00E00EB6"/>
    <w:rsid w:val="00E10E0A"/>
    <w:rsid w:val="00E41B5C"/>
    <w:rsid w:val="00E46947"/>
    <w:rsid w:val="00E7054E"/>
    <w:rsid w:val="00ED3247"/>
    <w:rsid w:val="00EE1FA2"/>
    <w:rsid w:val="00EE57F8"/>
    <w:rsid w:val="00EE622F"/>
    <w:rsid w:val="00EF7760"/>
    <w:rsid w:val="00F42216"/>
    <w:rsid w:val="00F444F3"/>
    <w:rsid w:val="00F7394A"/>
    <w:rsid w:val="00F80104"/>
    <w:rsid w:val="00F87B0C"/>
    <w:rsid w:val="00FD2217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  <w:pPr>
      <w:spacing w:after="200"/>
    </w:pPr>
    <w:rPr>
      <w:rFonts w:ascii="Open Sans" w:hAnsi="Open Sans" w:cs="Open Sans"/>
      <w:color w:val="3C3C3B" w:themeColor="text2"/>
      <w:sz w:val="2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 w:line="240" w:lineRule="auto"/>
      <w:outlineLvl w:val="1"/>
    </w:pPr>
    <w:rPr>
      <w:rFonts w:eastAsiaTheme="majorEastAsia"/>
      <w:caps/>
      <w:color w:val="44BCCD" w:themeColor="accent3"/>
      <w:sz w:val="26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 w:line="240" w:lineRule="auto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pPr>
      <w:spacing w:line="240" w:lineRule="auto"/>
    </w:pPr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 w:line="240" w:lineRule="auto"/>
      <w:outlineLvl w:val="0"/>
    </w:pPr>
    <w:rPr>
      <w:rFonts w:ascii="Museo 300" w:hAnsi="Museo 300"/>
      <w:noProof/>
      <w:color w:val="EA5B0C" w:themeColor="accent2"/>
      <w:sz w:val="50"/>
      <w:szCs w:val="50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  <w:rPr>
      <w:sz w:val="24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BF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B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  <w:pPr>
      <w:spacing w:after="200"/>
    </w:pPr>
    <w:rPr>
      <w:rFonts w:ascii="Open Sans" w:hAnsi="Open Sans" w:cs="Open Sans"/>
      <w:color w:val="3C3C3B" w:themeColor="text2"/>
      <w:sz w:val="2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 w:line="240" w:lineRule="auto"/>
      <w:outlineLvl w:val="1"/>
    </w:pPr>
    <w:rPr>
      <w:rFonts w:eastAsiaTheme="majorEastAsia"/>
      <w:caps/>
      <w:color w:val="44BCCD" w:themeColor="accent3"/>
      <w:sz w:val="26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 w:line="240" w:lineRule="auto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pPr>
      <w:spacing w:line="240" w:lineRule="auto"/>
    </w:pPr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 w:line="240" w:lineRule="auto"/>
      <w:outlineLvl w:val="0"/>
    </w:pPr>
    <w:rPr>
      <w:rFonts w:ascii="Museo 300" w:hAnsi="Museo 300"/>
      <w:noProof/>
      <w:color w:val="EA5B0C" w:themeColor="accent2"/>
      <w:sz w:val="50"/>
      <w:szCs w:val="50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  <w:rPr>
      <w:sz w:val="24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BF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B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PowerPoint_Presentation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E7714BDC-D0FA-4A37-B88D-2E0397A0A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C0D5D-5066-4FEA-8A65-0E64BCDAA6B6}"/>
</file>

<file path=customXml/itemProps3.xml><?xml version="1.0" encoding="utf-8"?>
<ds:datastoreItem xmlns:ds="http://schemas.openxmlformats.org/officeDocument/2006/customXml" ds:itemID="{442061C8-AEA8-493F-B856-29842FAB2CAF}"/>
</file>

<file path=customXml/itemProps4.xml><?xml version="1.0" encoding="utf-8"?>
<ds:datastoreItem xmlns:ds="http://schemas.openxmlformats.org/officeDocument/2006/customXml" ds:itemID="{6235A2A1-2257-4194-B4FB-8B5F3D2FD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SELEP Template</vt:lpstr>
    </vt:vector>
  </TitlesOfParts>
  <Company>Essex County Council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SELEP Template</dc:title>
  <dc:subject>SELEP</dc:subject>
  <dc:creator>lucy.payne</dc:creator>
  <cp:lastModifiedBy>lucy.payne</cp:lastModifiedBy>
  <cp:revision>3</cp:revision>
  <cp:lastPrinted>2017-04-12T14:40:00Z</cp:lastPrinted>
  <dcterms:created xsi:type="dcterms:W3CDTF">2019-05-01T16:26:00Z</dcterms:created>
  <dcterms:modified xsi:type="dcterms:W3CDTF">2019-05-01T16:27:00Z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