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F949" w14:textId="77777777" w:rsidR="009A220F" w:rsidRPr="0060452F" w:rsidRDefault="009A220F" w:rsidP="009A220F">
      <w:pPr>
        <w:rPr>
          <w:rFonts w:ascii="Calibri" w:hAnsi="Calibri" w:cstheme="minorHAnsi"/>
          <w:b/>
          <w:bCs/>
          <w:sz w:val="28"/>
          <w:lang w:eastAsia="en-US"/>
        </w:rPr>
      </w:pPr>
    </w:p>
    <w:p w14:paraId="47DB5D1B" w14:textId="77777777" w:rsidR="00B0651C" w:rsidRDefault="00B0651C" w:rsidP="00B0651C">
      <w:pPr>
        <w:pStyle w:val="ListParagraph"/>
        <w:ind w:left="426"/>
        <w:jc w:val="center"/>
        <w:rPr>
          <w:rFonts w:ascii="Calibri" w:hAnsi="Calibri" w:cstheme="minorHAnsi"/>
          <w:b/>
          <w:sz w:val="28"/>
          <w:szCs w:val="28"/>
          <w:u w:val="single"/>
          <w:lang w:eastAsia="en-US"/>
        </w:rPr>
      </w:pPr>
      <w:r>
        <w:rPr>
          <w:rFonts w:ascii="Calibri" w:hAnsi="Calibri" w:cstheme="minorHAnsi"/>
          <w:b/>
          <w:sz w:val="28"/>
          <w:szCs w:val="28"/>
          <w:u w:val="single"/>
          <w:lang w:eastAsia="en-US"/>
        </w:rPr>
        <w:t>Housing and Development Group</w:t>
      </w:r>
      <w:r w:rsidR="006D167E">
        <w:rPr>
          <w:rFonts w:ascii="Calibri" w:hAnsi="Calibri" w:cstheme="minorHAnsi"/>
          <w:b/>
          <w:sz w:val="28"/>
          <w:szCs w:val="28"/>
          <w:u w:val="single"/>
          <w:lang w:eastAsia="en-US"/>
        </w:rPr>
        <w:t xml:space="preserve"> (HDG)</w:t>
      </w:r>
    </w:p>
    <w:p w14:paraId="2D0B6ED4" w14:textId="066C96C4" w:rsidR="00E41C3D" w:rsidRPr="00336730" w:rsidRDefault="00336730" w:rsidP="00B0651C">
      <w:pPr>
        <w:pStyle w:val="ListParagraph"/>
        <w:ind w:left="426"/>
        <w:jc w:val="center"/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(Working Group to SELEP)</w:t>
      </w:r>
    </w:p>
    <w:p w14:paraId="35BE55DF" w14:textId="77777777" w:rsidR="00336730" w:rsidRPr="00887002" w:rsidRDefault="00336730" w:rsidP="004F6A51">
      <w:pPr>
        <w:rPr>
          <w:lang w:eastAsia="en-US"/>
        </w:rPr>
      </w:pPr>
    </w:p>
    <w:p w14:paraId="61F123E7" w14:textId="727AF5A4" w:rsidR="00B0651C" w:rsidRDefault="00B0651C" w:rsidP="00B0651C">
      <w:pPr>
        <w:pStyle w:val="ListParagraph"/>
        <w:ind w:left="426"/>
        <w:jc w:val="center"/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Tuesday 1</w:t>
      </w:r>
      <w:r w:rsidR="00C437BA">
        <w:rPr>
          <w:rFonts w:ascii="Calibri" w:hAnsi="Calibri" w:cstheme="minorHAnsi"/>
          <w:b/>
          <w:lang w:eastAsia="en-US"/>
        </w:rPr>
        <w:t>7</w:t>
      </w:r>
      <w:r w:rsidRPr="00B0651C">
        <w:rPr>
          <w:rFonts w:ascii="Calibri" w:hAnsi="Calibri" w:cstheme="minorHAnsi"/>
          <w:b/>
          <w:vertAlign w:val="superscript"/>
          <w:lang w:eastAsia="en-US"/>
        </w:rPr>
        <w:t>th</w:t>
      </w:r>
      <w:r>
        <w:rPr>
          <w:rFonts w:ascii="Calibri" w:hAnsi="Calibri" w:cstheme="minorHAnsi"/>
          <w:b/>
          <w:lang w:eastAsia="en-US"/>
        </w:rPr>
        <w:t xml:space="preserve"> </w:t>
      </w:r>
      <w:r w:rsidR="00C437BA">
        <w:rPr>
          <w:rFonts w:ascii="Calibri" w:hAnsi="Calibri" w:cstheme="minorHAnsi"/>
          <w:b/>
          <w:lang w:eastAsia="en-US"/>
        </w:rPr>
        <w:t>September</w:t>
      </w:r>
      <w:r>
        <w:rPr>
          <w:rFonts w:ascii="Calibri" w:hAnsi="Calibri" w:cstheme="minorHAnsi"/>
          <w:b/>
          <w:lang w:eastAsia="en-US"/>
        </w:rPr>
        <w:t xml:space="preserve"> 2019</w:t>
      </w:r>
    </w:p>
    <w:p w14:paraId="7AFB313A" w14:textId="77777777" w:rsidR="00B0651C" w:rsidRDefault="00B0651C" w:rsidP="00B0651C">
      <w:pPr>
        <w:pStyle w:val="ListParagraph"/>
        <w:ind w:left="426"/>
        <w:jc w:val="center"/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10:30-12:30</w:t>
      </w:r>
    </w:p>
    <w:p w14:paraId="119C75E2" w14:textId="77777777" w:rsidR="00B0651C" w:rsidRDefault="00B0651C" w:rsidP="00B0651C">
      <w:pPr>
        <w:pStyle w:val="ListParagraph"/>
        <w:ind w:left="426"/>
        <w:jc w:val="center"/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Moat Homes, Dartford, Kent</w:t>
      </w:r>
    </w:p>
    <w:p w14:paraId="3A6323A9" w14:textId="77777777" w:rsidR="00336730" w:rsidRDefault="00336730" w:rsidP="006D167E">
      <w:pPr>
        <w:rPr>
          <w:rFonts w:ascii="Calibri" w:hAnsi="Calibri" w:cstheme="minorHAnsi"/>
          <w:b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043EBB" w14:paraId="13F73BEB" w14:textId="77777777" w:rsidTr="00043EBB">
        <w:trPr>
          <w:jc w:val="center"/>
        </w:trPr>
        <w:tc>
          <w:tcPr>
            <w:tcW w:w="5228" w:type="dxa"/>
          </w:tcPr>
          <w:p w14:paraId="0B6FD5A9" w14:textId="77777777" w:rsidR="00043EBB" w:rsidRPr="00043EBB" w:rsidRDefault="00043EBB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Brian Horton</w:t>
            </w:r>
          </w:p>
        </w:tc>
        <w:tc>
          <w:tcPr>
            <w:tcW w:w="5228" w:type="dxa"/>
          </w:tcPr>
          <w:p w14:paraId="5C646EB0" w14:textId="083CB925" w:rsidR="00043EBB" w:rsidRPr="00C437BA" w:rsidRDefault="00043EBB" w:rsidP="006D167E">
            <w:pPr>
              <w:rPr>
                <w:rFonts w:ascii="Calibri" w:hAnsi="Calibri" w:cstheme="minorHAnsi"/>
                <w:b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SELEP</w:t>
            </w:r>
            <w:r w:rsidR="00C437BA">
              <w:rPr>
                <w:rFonts w:ascii="Calibri" w:hAnsi="Calibri" w:cstheme="minorHAnsi"/>
                <w:lang w:eastAsia="en-US"/>
              </w:rPr>
              <w:t xml:space="preserve"> – (Deputising as Chair)</w:t>
            </w:r>
          </w:p>
        </w:tc>
      </w:tr>
      <w:tr w:rsidR="00043EBB" w14:paraId="22A46356" w14:textId="77777777" w:rsidTr="00043EBB">
        <w:trPr>
          <w:jc w:val="center"/>
        </w:trPr>
        <w:tc>
          <w:tcPr>
            <w:tcW w:w="5228" w:type="dxa"/>
          </w:tcPr>
          <w:p w14:paraId="0EC26204" w14:textId="77777777" w:rsidR="00043EBB" w:rsidRPr="00043EBB" w:rsidRDefault="00043EBB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Alex Riley</w:t>
            </w:r>
          </w:p>
        </w:tc>
        <w:tc>
          <w:tcPr>
            <w:tcW w:w="5228" w:type="dxa"/>
          </w:tcPr>
          <w:p w14:paraId="5236FD68" w14:textId="77777777" w:rsidR="00043EBB" w:rsidRPr="00043EBB" w:rsidRDefault="00043EBB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SELEP</w:t>
            </w:r>
          </w:p>
        </w:tc>
      </w:tr>
      <w:tr w:rsidR="00043EBB" w14:paraId="3F4CFBB4" w14:textId="77777777" w:rsidTr="00043EBB">
        <w:trPr>
          <w:jc w:val="center"/>
        </w:trPr>
        <w:tc>
          <w:tcPr>
            <w:tcW w:w="5228" w:type="dxa"/>
          </w:tcPr>
          <w:p w14:paraId="1783AAF1" w14:textId="77777777" w:rsidR="00043EBB" w:rsidRPr="00043EBB" w:rsidRDefault="00043EBB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Steve Nunn</w:t>
            </w:r>
          </w:p>
        </w:tc>
        <w:tc>
          <w:tcPr>
            <w:tcW w:w="5228" w:type="dxa"/>
          </w:tcPr>
          <w:p w14:paraId="3141AB14" w14:textId="77777777" w:rsidR="00043EBB" w:rsidRPr="00043EBB" w:rsidRDefault="00043EBB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 xml:space="preserve">Moat </w:t>
            </w:r>
          </w:p>
        </w:tc>
      </w:tr>
      <w:tr w:rsidR="00043EBB" w14:paraId="151335DD" w14:textId="77777777" w:rsidTr="00043EBB">
        <w:trPr>
          <w:jc w:val="center"/>
        </w:trPr>
        <w:tc>
          <w:tcPr>
            <w:tcW w:w="5228" w:type="dxa"/>
          </w:tcPr>
          <w:p w14:paraId="0760EF47" w14:textId="77777777" w:rsidR="00043EBB" w:rsidRPr="00043EBB" w:rsidRDefault="00043EBB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Helen McCabe</w:t>
            </w:r>
          </w:p>
        </w:tc>
        <w:tc>
          <w:tcPr>
            <w:tcW w:w="5228" w:type="dxa"/>
          </w:tcPr>
          <w:p w14:paraId="2CC823D4" w14:textId="77777777" w:rsidR="00043EBB" w:rsidRPr="00043EBB" w:rsidRDefault="00043EBB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Chair South Essex Housing Group</w:t>
            </w:r>
          </w:p>
        </w:tc>
      </w:tr>
      <w:tr w:rsidR="00043EBB" w14:paraId="43A2D8AE" w14:textId="77777777" w:rsidTr="00043EBB">
        <w:trPr>
          <w:jc w:val="center"/>
        </w:trPr>
        <w:tc>
          <w:tcPr>
            <w:tcW w:w="5228" w:type="dxa"/>
          </w:tcPr>
          <w:p w14:paraId="3F4148EE" w14:textId="77777777" w:rsidR="00043EBB" w:rsidRDefault="00043EBB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Mary Gibbons</w:t>
            </w:r>
          </w:p>
        </w:tc>
        <w:tc>
          <w:tcPr>
            <w:tcW w:w="5228" w:type="dxa"/>
          </w:tcPr>
          <w:p w14:paraId="4697ABB3" w14:textId="77777777" w:rsidR="00043EBB" w:rsidRDefault="00043EBB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CHP</w:t>
            </w:r>
          </w:p>
        </w:tc>
      </w:tr>
      <w:tr w:rsidR="00043EBB" w14:paraId="7B94399B" w14:textId="77777777" w:rsidTr="00043EBB">
        <w:trPr>
          <w:jc w:val="center"/>
        </w:trPr>
        <w:tc>
          <w:tcPr>
            <w:tcW w:w="5228" w:type="dxa"/>
          </w:tcPr>
          <w:p w14:paraId="595F5F34" w14:textId="77777777" w:rsidR="00043EBB" w:rsidRDefault="00043EBB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Mark Pullin</w:t>
            </w:r>
          </w:p>
        </w:tc>
        <w:tc>
          <w:tcPr>
            <w:tcW w:w="5228" w:type="dxa"/>
          </w:tcPr>
          <w:p w14:paraId="3AD43F7C" w14:textId="77777777" w:rsidR="00043EBB" w:rsidRDefault="00043EBB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KPOG/ Ebbsfleet DC</w:t>
            </w:r>
          </w:p>
        </w:tc>
      </w:tr>
      <w:tr w:rsidR="00043EBB" w14:paraId="0938A505" w14:textId="77777777" w:rsidTr="00043EBB">
        <w:trPr>
          <w:jc w:val="center"/>
        </w:trPr>
        <w:tc>
          <w:tcPr>
            <w:tcW w:w="5228" w:type="dxa"/>
          </w:tcPr>
          <w:p w14:paraId="18718BC8" w14:textId="77777777" w:rsidR="00043EBB" w:rsidRDefault="00043EBB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 xml:space="preserve">Mark </w:t>
            </w:r>
            <w:proofErr w:type="spellStart"/>
            <w:r>
              <w:rPr>
                <w:rFonts w:ascii="Calibri" w:hAnsi="Calibri" w:cstheme="minorHAnsi"/>
                <w:lang w:eastAsia="en-US"/>
              </w:rPr>
              <w:t>Curle</w:t>
            </w:r>
            <w:proofErr w:type="spellEnd"/>
          </w:p>
        </w:tc>
        <w:tc>
          <w:tcPr>
            <w:tcW w:w="5228" w:type="dxa"/>
          </w:tcPr>
          <w:p w14:paraId="570C2D74" w14:textId="77777777" w:rsidR="00043EBB" w:rsidRDefault="00043EBB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Chair Essex Developers Group/ Galliford Try</w:t>
            </w:r>
          </w:p>
        </w:tc>
      </w:tr>
      <w:tr w:rsidR="00043EBB" w14:paraId="569AAD32" w14:textId="77777777" w:rsidTr="00043EBB">
        <w:trPr>
          <w:jc w:val="center"/>
        </w:trPr>
        <w:tc>
          <w:tcPr>
            <w:tcW w:w="5228" w:type="dxa"/>
          </w:tcPr>
          <w:p w14:paraId="048369CE" w14:textId="77777777" w:rsidR="00043EBB" w:rsidRDefault="00043EBB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Alastair Pollock</w:t>
            </w:r>
          </w:p>
        </w:tc>
        <w:tc>
          <w:tcPr>
            <w:tcW w:w="5228" w:type="dxa"/>
          </w:tcPr>
          <w:p w14:paraId="407EAC09" w14:textId="0EE080F2" w:rsidR="00043EBB" w:rsidRDefault="00007B2F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South Essex Housing Group/Essex Developers Group</w:t>
            </w:r>
          </w:p>
        </w:tc>
      </w:tr>
      <w:tr w:rsidR="00C437BA" w14:paraId="7AFA7F75" w14:textId="77777777" w:rsidTr="00043EBB">
        <w:trPr>
          <w:jc w:val="center"/>
        </w:trPr>
        <w:tc>
          <w:tcPr>
            <w:tcW w:w="5228" w:type="dxa"/>
          </w:tcPr>
          <w:p w14:paraId="47A35633" w14:textId="169CA190" w:rsidR="00C437BA" w:rsidRDefault="00C437BA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Peter Wright</w:t>
            </w:r>
          </w:p>
        </w:tc>
        <w:tc>
          <w:tcPr>
            <w:tcW w:w="5228" w:type="dxa"/>
          </w:tcPr>
          <w:p w14:paraId="602EB59F" w14:textId="3CCA279C" w:rsidR="00C437BA" w:rsidRDefault="00C437BA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 xml:space="preserve">Harlow &amp; </w:t>
            </w:r>
            <w:proofErr w:type="spellStart"/>
            <w:r>
              <w:rPr>
                <w:rFonts w:ascii="Calibri" w:hAnsi="Calibri" w:cstheme="minorHAnsi"/>
                <w:lang w:eastAsia="en-US"/>
              </w:rPr>
              <w:t>Gilston</w:t>
            </w:r>
            <w:proofErr w:type="spellEnd"/>
            <w:r>
              <w:rPr>
                <w:rFonts w:ascii="Calibri" w:hAnsi="Calibri" w:cstheme="minorHAnsi"/>
                <w:lang w:eastAsia="en-US"/>
              </w:rPr>
              <w:t xml:space="preserve"> Garden Town</w:t>
            </w:r>
          </w:p>
        </w:tc>
      </w:tr>
      <w:tr w:rsidR="00C437BA" w14:paraId="70E15257" w14:textId="77777777" w:rsidTr="00043EBB">
        <w:trPr>
          <w:jc w:val="center"/>
        </w:trPr>
        <w:tc>
          <w:tcPr>
            <w:tcW w:w="5228" w:type="dxa"/>
          </w:tcPr>
          <w:p w14:paraId="34FCAAE4" w14:textId="3E3076CC" w:rsidR="00C437BA" w:rsidRDefault="00C437BA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 xml:space="preserve">Helen Russell </w:t>
            </w:r>
          </w:p>
        </w:tc>
        <w:tc>
          <w:tcPr>
            <w:tcW w:w="5228" w:type="dxa"/>
          </w:tcPr>
          <w:p w14:paraId="5C34CE75" w14:textId="56076224" w:rsidR="00C437BA" w:rsidRDefault="00C437BA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SELEP</w:t>
            </w:r>
          </w:p>
        </w:tc>
      </w:tr>
      <w:tr w:rsidR="00C437BA" w14:paraId="48278E8C" w14:textId="77777777" w:rsidTr="00043EBB">
        <w:trPr>
          <w:jc w:val="center"/>
        </w:trPr>
        <w:tc>
          <w:tcPr>
            <w:tcW w:w="5228" w:type="dxa"/>
          </w:tcPr>
          <w:p w14:paraId="4A9358F3" w14:textId="65AC7D0D" w:rsidR="00C437BA" w:rsidRDefault="00C437BA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Hannah Wilson</w:t>
            </w:r>
          </w:p>
        </w:tc>
        <w:tc>
          <w:tcPr>
            <w:tcW w:w="5228" w:type="dxa"/>
          </w:tcPr>
          <w:p w14:paraId="11C831B4" w14:textId="48F581D0" w:rsidR="00C437BA" w:rsidRDefault="00C437BA" w:rsidP="006D167E">
            <w:pPr>
              <w:rPr>
                <w:rFonts w:ascii="Calibri" w:hAnsi="Calibri" w:cstheme="minorHAnsi"/>
                <w:lang w:eastAsia="en-US"/>
              </w:rPr>
            </w:pPr>
            <w:r>
              <w:rPr>
                <w:rFonts w:ascii="Calibri" w:hAnsi="Calibri" w:cstheme="minorHAnsi"/>
                <w:lang w:eastAsia="en-US"/>
              </w:rPr>
              <w:t>Homes England</w:t>
            </w:r>
          </w:p>
        </w:tc>
      </w:tr>
    </w:tbl>
    <w:p w14:paraId="29AFD04E" w14:textId="77777777" w:rsidR="00B0651C" w:rsidRPr="006A358B" w:rsidRDefault="00B0651C" w:rsidP="006A358B">
      <w:pPr>
        <w:rPr>
          <w:rFonts w:ascii="Calibri" w:hAnsi="Calibri" w:cstheme="minorHAnsi"/>
          <w:lang w:eastAsia="en-US"/>
        </w:rPr>
      </w:pPr>
    </w:p>
    <w:p w14:paraId="58D714C7" w14:textId="77777777" w:rsidR="009A220F" w:rsidRPr="00B0651C" w:rsidRDefault="00B0651C" w:rsidP="009A220F">
      <w:pPr>
        <w:pStyle w:val="ListParagraph"/>
        <w:numPr>
          <w:ilvl w:val="0"/>
          <w:numId w:val="7"/>
        </w:numPr>
        <w:ind w:left="426" w:hanging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b/>
          <w:bCs/>
          <w:lang w:eastAsia="en-US"/>
        </w:rPr>
        <w:t>Introductions and Apologies</w:t>
      </w:r>
    </w:p>
    <w:p w14:paraId="4E450B55" w14:textId="1C9785C1" w:rsidR="00B0651C" w:rsidRDefault="006D167E" w:rsidP="00B0651C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Chair welcomed attendees and the following apologies were noted from:</w:t>
      </w:r>
    </w:p>
    <w:p w14:paraId="5755A786" w14:textId="3FF835FF" w:rsidR="00C437BA" w:rsidRDefault="00C437BA" w:rsidP="00B0651C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 xml:space="preserve">Nick Fenton, Jemma Little, Tina Hinson, Coby Tomlins, Katherine Harvey, Neill Tickle, Julia Wallace, Ian Piper, Sarah Finnegan, Andrew Palmer, Carole Nickelson, Christopher Moore, Frank </w:t>
      </w:r>
      <w:proofErr w:type="spellStart"/>
      <w:r>
        <w:rPr>
          <w:rFonts w:ascii="Calibri" w:hAnsi="Calibri" w:cstheme="minorHAnsi"/>
          <w:lang w:eastAsia="en-US"/>
        </w:rPr>
        <w:t>Klepping</w:t>
      </w:r>
      <w:proofErr w:type="spellEnd"/>
      <w:r>
        <w:rPr>
          <w:rFonts w:ascii="Calibri" w:hAnsi="Calibri" w:cstheme="minorHAnsi"/>
          <w:lang w:eastAsia="en-US"/>
        </w:rPr>
        <w:t xml:space="preserve">, Ian Vipond, Jo Ellis, Jonathan Buckwell, Paul Thomas, Rebecca Smith, Richard Bayley, Tracey </w:t>
      </w:r>
      <w:proofErr w:type="spellStart"/>
      <w:r>
        <w:rPr>
          <w:rFonts w:ascii="Calibri" w:hAnsi="Calibri" w:cstheme="minorHAnsi"/>
          <w:lang w:eastAsia="en-US"/>
        </w:rPr>
        <w:t>Kerly</w:t>
      </w:r>
      <w:proofErr w:type="spellEnd"/>
      <w:r>
        <w:rPr>
          <w:rFonts w:ascii="Calibri" w:hAnsi="Calibri" w:cstheme="minorHAnsi"/>
          <w:lang w:eastAsia="en-US"/>
        </w:rPr>
        <w:t>.</w:t>
      </w:r>
    </w:p>
    <w:p w14:paraId="607457E1" w14:textId="77777777" w:rsidR="006D167E" w:rsidRPr="006D167E" w:rsidRDefault="006D167E" w:rsidP="005E38D7">
      <w:pPr>
        <w:rPr>
          <w:lang w:eastAsia="en-US"/>
        </w:rPr>
      </w:pPr>
    </w:p>
    <w:p w14:paraId="6A5C35DE" w14:textId="77777777" w:rsidR="009A220F" w:rsidRPr="006D167E" w:rsidRDefault="00DC4BE7" w:rsidP="00F601E3">
      <w:pPr>
        <w:pStyle w:val="ListParagraph"/>
        <w:numPr>
          <w:ilvl w:val="0"/>
          <w:numId w:val="7"/>
        </w:numPr>
        <w:ind w:left="426" w:hanging="426"/>
        <w:rPr>
          <w:rFonts w:ascii="Calibri" w:hAnsi="Calibri" w:cstheme="minorHAnsi"/>
          <w:lang w:eastAsia="en-US"/>
        </w:rPr>
      </w:pPr>
      <w:r w:rsidRPr="0060452F">
        <w:rPr>
          <w:rFonts w:ascii="Calibri" w:hAnsi="Calibri" w:cstheme="minorHAnsi"/>
          <w:b/>
          <w:bCs/>
          <w:lang w:eastAsia="en-US"/>
        </w:rPr>
        <w:t>R</w:t>
      </w:r>
      <w:r w:rsidR="00B0651C">
        <w:rPr>
          <w:rFonts w:ascii="Calibri" w:hAnsi="Calibri" w:cstheme="minorHAnsi"/>
          <w:b/>
          <w:bCs/>
          <w:lang w:eastAsia="en-US"/>
        </w:rPr>
        <w:t>eview &amp; agree Notes and Action Points of meeting held on 5</w:t>
      </w:r>
      <w:r w:rsidR="00B0651C" w:rsidRPr="00B0651C">
        <w:rPr>
          <w:rFonts w:ascii="Calibri" w:hAnsi="Calibri" w:cstheme="minorHAnsi"/>
          <w:b/>
          <w:bCs/>
          <w:vertAlign w:val="superscript"/>
          <w:lang w:eastAsia="en-US"/>
        </w:rPr>
        <w:t>th</w:t>
      </w:r>
      <w:r w:rsidR="00B0651C">
        <w:rPr>
          <w:rFonts w:ascii="Calibri" w:hAnsi="Calibri" w:cstheme="minorHAnsi"/>
          <w:b/>
          <w:bCs/>
          <w:lang w:eastAsia="en-US"/>
        </w:rPr>
        <w:t xml:space="preserve"> March 2019</w:t>
      </w:r>
    </w:p>
    <w:p w14:paraId="6E8B6B66" w14:textId="303C3DFF" w:rsidR="006D167E" w:rsidRDefault="006D167E" w:rsidP="006D167E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These were reviewed and agreed as a true record.</w:t>
      </w:r>
    </w:p>
    <w:p w14:paraId="1223289F" w14:textId="65624C4C" w:rsidR="00C437BA" w:rsidRDefault="00C437BA" w:rsidP="006D167E">
      <w:pPr>
        <w:pStyle w:val="ListParagraph"/>
        <w:ind w:left="426"/>
        <w:rPr>
          <w:rFonts w:ascii="Calibri" w:hAnsi="Calibri" w:cstheme="minorHAnsi"/>
          <w:lang w:eastAsia="en-US"/>
        </w:rPr>
      </w:pPr>
    </w:p>
    <w:p w14:paraId="0715DEFF" w14:textId="5AE68EE2" w:rsidR="00186F3A" w:rsidRDefault="00186F3A" w:rsidP="006D167E">
      <w:pPr>
        <w:pStyle w:val="ListParagraph"/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The actions were recognised as either complete on in the process of completion.</w:t>
      </w:r>
    </w:p>
    <w:p w14:paraId="1F1A16B6" w14:textId="77777777" w:rsidR="009A220F" w:rsidRPr="0060452F" w:rsidRDefault="009A220F" w:rsidP="006A358B">
      <w:pPr>
        <w:ind w:left="426"/>
        <w:rPr>
          <w:rFonts w:ascii="Calibri" w:hAnsi="Calibri" w:cstheme="minorHAnsi"/>
          <w:lang w:eastAsia="en-US"/>
        </w:rPr>
      </w:pPr>
    </w:p>
    <w:p w14:paraId="46E606F4" w14:textId="282C1121" w:rsidR="009A220F" w:rsidRPr="004922A7" w:rsidRDefault="00B0651C" w:rsidP="00F601E3">
      <w:pPr>
        <w:pStyle w:val="ListParagraph"/>
        <w:numPr>
          <w:ilvl w:val="0"/>
          <w:numId w:val="7"/>
        </w:numPr>
        <w:ind w:left="426" w:hanging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b/>
          <w:bCs/>
          <w:lang w:eastAsia="en-US"/>
        </w:rPr>
        <w:t>Local Industrial Strategy</w:t>
      </w:r>
      <w:r w:rsidR="00AE0A5A">
        <w:rPr>
          <w:rFonts w:ascii="Calibri" w:hAnsi="Calibri" w:cstheme="minorHAnsi"/>
          <w:b/>
          <w:bCs/>
          <w:lang w:eastAsia="en-US"/>
        </w:rPr>
        <w:t xml:space="preserve"> (LIS)</w:t>
      </w:r>
      <w:r w:rsidR="004922A7">
        <w:rPr>
          <w:rFonts w:ascii="Calibri" w:hAnsi="Calibri" w:cstheme="minorHAnsi"/>
          <w:b/>
          <w:bCs/>
          <w:lang w:eastAsia="en-US"/>
        </w:rPr>
        <w:t xml:space="preserve"> Workshop Session</w:t>
      </w:r>
    </w:p>
    <w:p w14:paraId="3D99D563" w14:textId="16D58BE5" w:rsidR="004922A7" w:rsidRDefault="004922A7" w:rsidP="004922A7">
      <w:pPr>
        <w:rPr>
          <w:rFonts w:ascii="Calibri" w:hAnsi="Calibri" w:cstheme="minorHAnsi"/>
          <w:lang w:eastAsia="en-US"/>
        </w:rPr>
      </w:pPr>
    </w:p>
    <w:p w14:paraId="1964822C" w14:textId="3E2B21F9" w:rsidR="004922A7" w:rsidRDefault="004922A7" w:rsidP="004922A7">
      <w:pPr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Key points from the workshop are detailed below:</w:t>
      </w:r>
    </w:p>
    <w:p w14:paraId="17C3122B" w14:textId="319CC4C1" w:rsidR="004922A7" w:rsidRDefault="004922A7" w:rsidP="004922A7">
      <w:pPr>
        <w:ind w:left="426"/>
        <w:rPr>
          <w:rFonts w:ascii="Calibri" w:hAnsi="Calibri" w:cstheme="minorHAnsi"/>
          <w:lang w:eastAsia="en-US"/>
        </w:rPr>
      </w:pPr>
    </w:p>
    <w:p w14:paraId="6634DE60" w14:textId="6550303E" w:rsidR="004922A7" w:rsidRDefault="004922A7" w:rsidP="004922A7">
      <w:pPr>
        <w:ind w:left="42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What are the main opportunities and barriers for new housing development?</w:t>
      </w:r>
    </w:p>
    <w:p w14:paraId="5057B302" w14:textId="4F7B3090" w:rsidR="004922A7" w:rsidRDefault="004922A7" w:rsidP="004922A7">
      <w:pPr>
        <w:ind w:left="426"/>
        <w:rPr>
          <w:rFonts w:ascii="Calibri" w:hAnsi="Calibri" w:cstheme="minorHAnsi"/>
          <w:lang w:eastAsia="en-US"/>
        </w:rPr>
      </w:pPr>
    </w:p>
    <w:p w14:paraId="4402E02D" w14:textId="7EE297CF" w:rsidR="004922A7" w:rsidRDefault="004922A7" w:rsidP="004922A7">
      <w:pPr>
        <w:pStyle w:val="ListParagraph"/>
        <w:numPr>
          <w:ilvl w:val="0"/>
          <w:numId w:val="10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The scale of the opportunity is crucial – around 40-45% of the new garden communities are in the South East LEP geography.</w:t>
      </w:r>
    </w:p>
    <w:p w14:paraId="55E6EAE4" w14:textId="0D2A1E15" w:rsidR="004922A7" w:rsidRDefault="004922A7" w:rsidP="004922A7">
      <w:pPr>
        <w:pStyle w:val="ListParagraph"/>
        <w:numPr>
          <w:ilvl w:val="0"/>
          <w:numId w:val="10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There is a missed gap in terms of showcasing schemes and having emerging examples to make people aware of what is possible.</w:t>
      </w:r>
    </w:p>
    <w:p w14:paraId="23D0C267" w14:textId="7F656C34" w:rsidR="004922A7" w:rsidRDefault="004922A7" w:rsidP="004922A7">
      <w:pPr>
        <w:pStyle w:val="ListParagraph"/>
        <w:numPr>
          <w:ilvl w:val="0"/>
          <w:numId w:val="10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lastRenderedPageBreak/>
        <w:t>Ebbsfleet is leading on the healthcare element but this is still a massive barrier to growth.</w:t>
      </w:r>
    </w:p>
    <w:p w14:paraId="70F4F2EF" w14:textId="74C7DA60" w:rsidR="004922A7" w:rsidRDefault="004922A7" w:rsidP="004922A7">
      <w:pPr>
        <w:pStyle w:val="ListParagraph"/>
        <w:numPr>
          <w:ilvl w:val="0"/>
          <w:numId w:val="10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Transport is a challenge, particularly with developments near existing communities that rank high on the indices of deprivation. There is a challenge in ensuring people are attracted to the centres of new communities and no go outward to nearby places for education, leisure etc.</w:t>
      </w:r>
    </w:p>
    <w:p w14:paraId="321192FB" w14:textId="6B89FC38" w:rsidR="004922A7" w:rsidRDefault="004922A7" w:rsidP="004922A7">
      <w:pPr>
        <w:pStyle w:val="ListParagraph"/>
        <w:numPr>
          <w:ilvl w:val="0"/>
          <w:numId w:val="10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 xml:space="preserve">There is </w:t>
      </w:r>
      <w:proofErr w:type="gramStart"/>
      <w:r>
        <w:rPr>
          <w:rFonts w:ascii="Calibri" w:hAnsi="Calibri" w:cstheme="minorHAnsi"/>
          <w:lang w:eastAsia="en-US"/>
        </w:rPr>
        <w:t>work</w:t>
      </w:r>
      <w:proofErr w:type="gramEnd"/>
      <w:r>
        <w:rPr>
          <w:rFonts w:ascii="Calibri" w:hAnsi="Calibri" w:cstheme="minorHAnsi"/>
          <w:lang w:eastAsia="en-US"/>
        </w:rPr>
        <w:t xml:space="preserve"> to convince government that infrastructure needs to be ahead of development.</w:t>
      </w:r>
    </w:p>
    <w:p w14:paraId="279DE7DB" w14:textId="26729620" w:rsidR="004922A7" w:rsidRDefault="004922A7" w:rsidP="004922A7">
      <w:pPr>
        <w:pStyle w:val="ListParagraph"/>
        <w:numPr>
          <w:ilvl w:val="0"/>
          <w:numId w:val="10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There is an issue around new infrastructure lifting house prices and causing displacement.</w:t>
      </w:r>
    </w:p>
    <w:p w14:paraId="14F62245" w14:textId="44DE6B5C" w:rsidR="004922A7" w:rsidRDefault="004922A7" w:rsidP="004922A7">
      <w:pPr>
        <w:pStyle w:val="ListParagraph"/>
        <w:numPr>
          <w:ilvl w:val="0"/>
          <w:numId w:val="10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Land pricing is key – ensuring developers do not overpay for land.</w:t>
      </w:r>
    </w:p>
    <w:p w14:paraId="23C973A7" w14:textId="4CAF9994" w:rsidR="004922A7" w:rsidRDefault="004922A7" w:rsidP="004922A7">
      <w:pPr>
        <w:pStyle w:val="ListParagraph"/>
        <w:numPr>
          <w:ilvl w:val="0"/>
          <w:numId w:val="10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Work with landowners to have sensible conversations around value to bring developments forward.</w:t>
      </w:r>
    </w:p>
    <w:p w14:paraId="07A3ABD2" w14:textId="6C3CB009" w:rsidR="004922A7" w:rsidRDefault="004922A7" w:rsidP="004922A7">
      <w:pPr>
        <w:pStyle w:val="ListParagraph"/>
        <w:numPr>
          <w:ilvl w:val="0"/>
          <w:numId w:val="10"/>
        </w:numPr>
        <w:rPr>
          <w:rFonts w:ascii="Calibri" w:hAnsi="Calibri" w:cstheme="minorHAnsi"/>
          <w:lang w:eastAsia="en-US"/>
        </w:rPr>
      </w:pPr>
      <w:proofErr w:type="spellStart"/>
      <w:r>
        <w:rPr>
          <w:rFonts w:ascii="Calibri" w:hAnsi="Calibri" w:cstheme="minorHAnsi"/>
          <w:lang w:eastAsia="en-US"/>
        </w:rPr>
        <w:t>FutureProof</w:t>
      </w:r>
      <w:proofErr w:type="spellEnd"/>
      <w:r>
        <w:rPr>
          <w:rFonts w:ascii="Calibri" w:hAnsi="Calibri" w:cstheme="minorHAnsi"/>
          <w:lang w:eastAsia="en-US"/>
        </w:rPr>
        <w:t xml:space="preserve"> is an example of a new tenure model to bring developments forward.</w:t>
      </w:r>
    </w:p>
    <w:p w14:paraId="6F3A286D" w14:textId="73036756" w:rsidR="004922A7" w:rsidRDefault="004922A7" w:rsidP="004922A7">
      <w:pPr>
        <w:pStyle w:val="ListParagraph"/>
        <w:numPr>
          <w:ilvl w:val="0"/>
          <w:numId w:val="10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Absorption rate is critical i.e. if the aim is to increase supply you need more developments.</w:t>
      </w:r>
    </w:p>
    <w:p w14:paraId="64A04BF8" w14:textId="043C1D08" w:rsidR="004922A7" w:rsidRDefault="004922A7" w:rsidP="004922A7">
      <w:pPr>
        <w:pStyle w:val="ListParagraph"/>
        <w:numPr>
          <w:ilvl w:val="0"/>
          <w:numId w:val="10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There is a danger of fewer tier 1 developments and lower productivity which tempers innovation.</w:t>
      </w:r>
    </w:p>
    <w:p w14:paraId="11326678" w14:textId="6313332A" w:rsidR="004922A7" w:rsidRDefault="004922A7" w:rsidP="004922A7">
      <w:pPr>
        <w:pStyle w:val="ListParagraph"/>
        <w:numPr>
          <w:ilvl w:val="0"/>
          <w:numId w:val="10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Off-site construction can result in similar housing styles – “cookie-cutter” homes.</w:t>
      </w:r>
    </w:p>
    <w:p w14:paraId="6DE97D2A" w14:textId="418CABB9" w:rsidR="004922A7" w:rsidRDefault="004922A7" w:rsidP="004922A7">
      <w:pPr>
        <w:pStyle w:val="ListParagraph"/>
        <w:numPr>
          <w:ilvl w:val="0"/>
          <w:numId w:val="10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 xml:space="preserve">Get more SMEs into development – barriers in terms of procurement. Public land can help with this. The affordability of development finance is also a barrier – links to the </w:t>
      </w:r>
      <w:proofErr w:type="spellStart"/>
      <w:r>
        <w:rPr>
          <w:rFonts w:ascii="Calibri" w:hAnsi="Calibri" w:cstheme="minorHAnsi"/>
          <w:lang w:eastAsia="en-US"/>
        </w:rPr>
        <w:t>iConstruct</w:t>
      </w:r>
      <w:proofErr w:type="spellEnd"/>
      <w:r>
        <w:rPr>
          <w:rFonts w:ascii="Calibri" w:hAnsi="Calibri" w:cstheme="minorHAnsi"/>
          <w:lang w:eastAsia="en-US"/>
        </w:rPr>
        <w:t xml:space="preserve"> project. A phased development approach can also assist SMEs.</w:t>
      </w:r>
    </w:p>
    <w:p w14:paraId="4CFB915E" w14:textId="73F27057" w:rsidR="004922A7" w:rsidRDefault="004922A7" w:rsidP="004922A7">
      <w:pPr>
        <w:ind w:left="786"/>
        <w:rPr>
          <w:rFonts w:ascii="Calibri" w:hAnsi="Calibri" w:cstheme="minorHAnsi"/>
          <w:lang w:eastAsia="en-US"/>
        </w:rPr>
      </w:pPr>
    </w:p>
    <w:p w14:paraId="63F86F83" w14:textId="3BB0B65E" w:rsidR="004922A7" w:rsidRDefault="004922A7" w:rsidP="004922A7">
      <w:pPr>
        <w:ind w:left="786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How do we approach the future of living?</w:t>
      </w:r>
    </w:p>
    <w:p w14:paraId="05511290" w14:textId="77777777" w:rsidR="004922A7" w:rsidRDefault="004922A7" w:rsidP="004922A7">
      <w:pPr>
        <w:ind w:left="786"/>
        <w:rPr>
          <w:rFonts w:ascii="Calibri" w:hAnsi="Calibri" w:cstheme="minorHAnsi"/>
          <w:lang w:eastAsia="en-US"/>
        </w:rPr>
      </w:pPr>
    </w:p>
    <w:p w14:paraId="02BDB1A9" w14:textId="2B55EEB5" w:rsidR="004922A7" w:rsidRDefault="004922A7" w:rsidP="004922A7">
      <w:pPr>
        <w:pStyle w:val="ListParagraph"/>
        <w:numPr>
          <w:ilvl w:val="0"/>
          <w:numId w:val="12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 xml:space="preserve">EV and charging points </w:t>
      </w:r>
      <w:r w:rsidR="00615029">
        <w:rPr>
          <w:rFonts w:ascii="Calibri" w:hAnsi="Calibri" w:cstheme="minorHAnsi"/>
          <w:lang w:eastAsia="en-US"/>
        </w:rPr>
        <w:t>- a</w:t>
      </w:r>
      <w:bookmarkStart w:id="0" w:name="_GoBack"/>
      <w:bookmarkEnd w:id="0"/>
      <w:r>
        <w:rPr>
          <w:rFonts w:ascii="Calibri" w:hAnsi="Calibri" w:cstheme="minorHAnsi"/>
          <w:lang w:eastAsia="en-US"/>
        </w:rPr>
        <w:t xml:space="preserve"> question about if this means charge points at houses or not.</w:t>
      </w:r>
    </w:p>
    <w:p w14:paraId="1A6FF5EA" w14:textId="7CFBD861" w:rsidR="004922A7" w:rsidRDefault="004922A7" w:rsidP="004922A7">
      <w:pPr>
        <w:pStyle w:val="ListParagraph"/>
        <w:numPr>
          <w:ilvl w:val="0"/>
          <w:numId w:val="12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Smart ticketing.</w:t>
      </w:r>
    </w:p>
    <w:p w14:paraId="64A90BEE" w14:textId="34F454E3" w:rsidR="004922A7" w:rsidRDefault="004922A7" w:rsidP="004922A7">
      <w:pPr>
        <w:rPr>
          <w:rFonts w:ascii="Calibri" w:hAnsi="Calibri" w:cstheme="minorHAnsi"/>
          <w:lang w:eastAsia="en-US"/>
        </w:rPr>
      </w:pPr>
    </w:p>
    <w:p w14:paraId="79F72E47" w14:textId="7353F3BF" w:rsidR="004922A7" w:rsidRDefault="004922A7" w:rsidP="004922A7">
      <w:pPr>
        <w:ind w:left="720"/>
        <w:rPr>
          <w:rFonts w:ascii="Calibri" w:hAnsi="Calibri" w:cstheme="minorHAnsi"/>
          <w:lang w:eastAsia="en-US"/>
        </w:rPr>
      </w:pPr>
      <w:proofErr w:type="gramStart"/>
      <w:r>
        <w:rPr>
          <w:rFonts w:ascii="Calibri" w:hAnsi="Calibri" w:cstheme="minorHAnsi"/>
          <w:lang w:eastAsia="en-US"/>
        </w:rPr>
        <w:t>So</w:t>
      </w:r>
      <w:proofErr w:type="gramEnd"/>
      <w:r>
        <w:rPr>
          <w:rFonts w:ascii="Calibri" w:hAnsi="Calibri" w:cstheme="minorHAnsi"/>
          <w:lang w:eastAsia="en-US"/>
        </w:rPr>
        <w:t xml:space="preserve"> do we have the skills base needed to deliver?</w:t>
      </w:r>
    </w:p>
    <w:p w14:paraId="76BAD1FB" w14:textId="78168417" w:rsidR="004922A7" w:rsidRDefault="004922A7" w:rsidP="004922A7">
      <w:pPr>
        <w:ind w:left="720"/>
        <w:rPr>
          <w:rFonts w:ascii="Calibri" w:hAnsi="Calibri" w:cstheme="minorHAnsi"/>
          <w:lang w:eastAsia="en-US"/>
        </w:rPr>
      </w:pPr>
    </w:p>
    <w:p w14:paraId="12D65494" w14:textId="08736293" w:rsidR="004922A7" w:rsidRDefault="004922A7" w:rsidP="004922A7">
      <w:pPr>
        <w:pStyle w:val="ListParagraph"/>
        <w:numPr>
          <w:ilvl w:val="0"/>
          <w:numId w:val="13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We don’t have the current skills base. Labour is going to go to the large schemes and we’re already losing this to London.</w:t>
      </w:r>
    </w:p>
    <w:p w14:paraId="4D994D89" w14:textId="43C81488" w:rsidR="004922A7" w:rsidRDefault="00615029" w:rsidP="004922A7">
      <w:pPr>
        <w:pStyle w:val="ListParagraph"/>
        <w:numPr>
          <w:ilvl w:val="0"/>
          <w:numId w:val="13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Making the construction sector more appealing to young people is key.</w:t>
      </w:r>
    </w:p>
    <w:p w14:paraId="6DC878F3" w14:textId="765F10BF" w:rsidR="00615029" w:rsidRDefault="00615029" w:rsidP="004922A7">
      <w:pPr>
        <w:pStyle w:val="ListParagraph"/>
        <w:numPr>
          <w:ilvl w:val="0"/>
          <w:numId w:val="13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There is also a gap in terms of planners, architects and specialist consultants.</w:t>
      </w:r>
    </w:p>
    <w:p w14:paraId="38125883" w14:textId="701F775F" w:rsidR="00615029" w:rsidRDefault="00615029" w:rsidP="004922A7">
      <w:pPr>
        <w:pStyle w:val="ListParagraph"/>
        <w:numPr>
          <w:ilvl w:val="0"/>
          <w:numId w:val="13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FE is struggling to recruit teaching staff for these subjects.</w:t>
      </w:r>
    </w:p>
    <w:p w14:paraId="0233753F" w14:textId="38BAC41C" w:rsidR="00615029" w:rsidRDefault="00615029" w:rsidP="004922A7">
      <w:pPr>
        <w:pStyle w:val="ListParagraph"/>
        <w:numPr>
          <w:ilvl w:val="0"/>
          <w:numId w:val="13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Apprenticeship levy underspend – could have a potential ‘ask’ of government in routing this funding back to the LEP to support this type of skills shortage.</w:t>
      </w:r>
    </w:p>
    <w:p w14:paraId="7002288E" w14:textId="7486B131" w:rsidR="00615029" w:rsidRDefault="00615029" w:rsidP="004922A7">
      <w:pPr>
        <w:pStyle w:val="ListParagraph"/>
        <w:numPr>
          <w:ilvl w:val="0"/>
          <w:numId w:val="13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Could there be a partnership arrangement with developers around funding a teaching resource?</w:t>
      </w:r>
    </w:p>
    <w:p w14:paraId="1E7774D8" w14:textId="67CA50B1" w:rsidR="00615029" w:rsidRDefault="00615029" w:rsidP="00615029">
      <w:pPr>
        <w:rPr>
          <w:rFonts w:ascii="Calibri" w:hAnsi="Calibri" w:cstheme="minorHAnsi"/>
          <w:lang w:eastAsia="en-US"/>
        </w:rPr>
      </w:pPr>
    </w:p>
    <w:p w14:paraId="5786886A" w14:textId="351F8DA7" w:rsidR="00615029" w:rsidRDefault="00615029" w:rsidP="00615029">
      <w:pPr>
        <w:ind w:left="720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What will help attract inward investment?</w:t>
      </w:r>
    </w:p>
    <w:p w14:paraId="168A1B75" w14:textId="4B4C1E89" w:rsidR="00615029" w:rsidRDefault="00615029" w:rsidP="00615029">
      <w:pPr>
        <w:ind w:left="720"/>
        <w:rPr>
          <w:rFonts w:ascii="Calibri" w:hAnsi="Calibri" w:cstheme="minorHAnsi"/>
          <w:lang w:eastAsia="en-US"/>
        </w:rPr>
      </w:pPr>
    </w:p>
    <w:p w14:paraId="423C4F1A" w14:textId="21C3D694" w:rsidR="00615029" w:rsidRDefault="00615029" w:rsidP="00615029">
      <w:pPr>
        <w:pStyle w:val="ListParagraph"/>
        <w:numPr>
          <w:ilvl w:val="0"/>
          <w:numId w:val="14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We need to better way of describing the opportunity both domestically or internationally – almost develop a brand similar to Northern Powerhouse/Midlands Engine.</w:t>
      </w:r>
    </w:p>
    <w:p w14:paraId="710BB006" w14:textId="3F357476" w:rsidR="00615029" w:rsidRDefault="00615029" w:rsidP="00615029">
      <w:pPr>
        <w:ind w:left="720"/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lastRenderedPageBreak/>
        <w:t>How do we help facilitate the future of work?</w:t>
      </w:r>
    </w:p>
    <w:p w14:paraId="00C1A1B2" w14:textId="1F64E070" w:rsidR="00615029" w:rsidRDefault="00615029" w:rsidP="00615029">
      <w:pPr>
        <w:ind w:left="720"/>
        <w:rPr>
          <w:rFonts w:ascii="Calibri" w:hAnsi="Calibri" w:cstheme="minorHAnsi"/>
          <w:lang w:eastAsia="en-US"/>
        </w:rPr>
      </w:pPr>
    </w:p>
    <w:p w14:paraId="7C02FA0F" w14:textId="16D008D7" w:rsidR="00615029" w:rsidRDefault="00615029" w:rsidP="00615029">
      <w:pPr>
        <w:pStyle w:val="ListParagraph"/>
        <w:numPr>
          <w:ilvl w:val="0"/>
          <w:numId w:val="14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Future ways of working will be more flexible, there is scope for the creation of hubs/clusters in these new communities.</w:t>
      </w:r>
    </w:p>
    <w:p w14:paraId="45EFDCB9" w14:textId="2FDDBC40" w:rsidR="00615029" w:rsidRDefault="00615029" w:rsidP="00615029">
      <w:pPr>
        <w:pStyle w:val="ListParagraph"/>
        <w:numPr>
          <w:ilvl w:val="0"/>
          <w:numId w:val="14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Collaborative working environments.</w:t>
      </w:r>
    </w:p>
    <w:p w14:paraId="688BB332" w14:textId="307A6955" w:rsidR="00615029" w:rsidRDefault="00615029" w:rsidP="00615029">
      <w:pPr>
        <w:pStyle w:val="ListParagraph"/>
        <w:numPr>
          <w:ilvl w:val="0"/>
          <w:numId w:val="14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Also scope to have provision without tying it to a particular sectoral opportunity.</w:t>
      </w:r>
    </w:p>
    <w:p w14:paraId="6327B1D3" w14:textId="5C938CF3" w:rsidR="00615029" w:rsidRDefault="00615029" w:rsidP="00615029">
      <w:pPr>
        <w:pStyle w:val="ListParagraph"/>
        <w:numPr>
          <w:ilvl w:val="0"/>
          <w:numId w:val="14"/>
        </w:numPr>
        <w:rPr>
          <w:rFonts w:ascii="Calibri" w:hAnsi="Calibri" w:cstheme="minorHAnsi"/>
          <w:lang w:eastAsia="en-US"/>
        </w:rPr>
      </w:pPr>
      <w:r>
        <w:rPr>
          <w:rFonts w:ascii="Calibri" w:hAnsi="Calibri" w:cstheme="minorHAnsi"/>
          <w:lang w:eastAsia="en-US"/>
        </w:rPr>
        <w:t>There is potential to commission some work to better understand the creation of workspace/curated retail space.</w:t>
      </w:r>
    </w:p>
    <w:p w14:paraId="6CA0A615" w14:textId="6F0968CD" w:rsidR="00615029" w:rsidRPr="00615029" w:rsidRDefault="00615029" w:rsidP="00615029">
      <w:pPr>
        <w:pStyle w:val="ListParagraph"/>
        <w:ind w:left="720"/>
        <w:rPr>
          <w:rFonts w:ascii="Calibri" w:hAnsi="Calibri" w:cstheme="minorHAnsi"/>
        </w:rPr>
      </w:pPr>
    </w:p>
    <w:sectPr w:rsidR="00615029" w:rsidRPr="00615029" w:rsidSect="00F601E3">
      <w:headerReference w:type="default" r:id="rId8"/>
      <w:footerReference w:type="default" r:id="rId9"/>
      <w:pgSz w:w="11906" w:h="16838"/>
      <w:pgMar w:top="720" w:right="720" w:bottom="720" w:left="720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5A7F" w14:textId="77777777" w:rsidR="00E13DB6" w:rsidRDefault="00E13DB6" w:rsidP="004B2E64">
      <w:r>
        <w:separator/>
      </w:r>
    </w:p>
  </w:endnote>
  <w:endnote w:type="continuationSeparator" w:id="0">
    <w:p w14:paraId="58CA4C00" w14:textId="77777777" w:rsidR="00E13DB6" w:rsidRDefault="00E13DB6" w:rsidP="004B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157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38B1D" w14:textId="77777777" w:rsidR="006D167E" w:rsidRDefault="006D1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CB8F1" w14:textId="77777777" w:rsidR="00F601E3" w:rsidRDefault="00F60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2DAB" w14:textId="77777777" w:rsidR="00E13DB6" w:rsidRDefault="00E13DB6" w:rsidP="004B2E64">
      <w:r>
        <w:separator/>
      </w:r>
    </w:p>
  </w:footnote>
  <w:footnote w:type="continuationSeparator" w:id="0">
    <w:p w14:paraId="64165635" w14:textId="77777777" w:rsidR="00E13DB6" w:rsidRDefault="00E13DB6" w:rsidP="004B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177C" w14:textId="77777777" w:rsidR="004B2E64" w:rsidRPr="00E46947" w:rsidRDefault="004B2E64" w:rsidP="009A220F">
    <w:pPr>
      <w:pStyle w:val="NoSpacing"/>
      <w:framePr w:w="9886" w:h="1411" w:hRule="exact" w:wrap="around" w:x="1561" w:y="511"/>
    </w:pPr>
  </w:p>
  <w:p w14:paraId="3DF5DD11" w14:textId="77777777" w:rsidR="004B2E64" w:rsidRDefault="004B2E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8B56F4" wp14:editId="2493B66B">
          <wp:simplePos x="0" y="0"/>
          <wp:positionH relativeFrom="margin">
            <wp:posOffset>-276225</wp:posOffset>
          </wp:positionH>
          <wp:positionV relativeFrom="paragraph">
            <wp:posOffset>-431165</wp:posOffset>
          </wp:positionV>
          <wp:extent cx="2590800" cy="1148080"/>
          <wp:effectExtent l="0" t="0" r="0" b="0"/>
          <wp:wrapThrough wrapText="bothSides">
            <wp:wrapPolygon edited="0">
              <wp:start x="5718" y="3584"/>
              <wp:lineTo x="3494" y="5376"/>
              <wp:lineTo x="2065" y="7527"/>
              <wp:lineTo x="1747" y="11469"/>
              <wp:lineTo x="1747" y="17562"/>
              <wp:lineTo x="2859" y="17562"/>
              <wp:lineTo x="3335" y="16845"/>
              <wp:lineTo x="19376" y="14695"/>
              <wp:lineTo x="19694" y="6093"/>
              <wp:lineTo x="6671" y="3584"/>
              <wp:lineTo x="5718" y="358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lour on 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3B9C"/>
    <w:multiLevelType w:val="hybridMultilevel"/>
    <w:tmpl w:val="0180F69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A142A04"/>
    <w:multiLevelType w:val="hybridMultilevel"/>
    <w:tmpl w:val="B1F6DB58"/>
    <w:lvl w:ilvl="0" w:tplc="F460C644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EB364EB"/>
    <w:multiLevelType w:val="hybridMultilevel"/>
    <w:tmpl w:val="327E8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BB62ED"/>
    <w:multiLevelType w:val="hybridMultilevel"/>
    <w:tmpl w:val="BE02EF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7A6AB7"/>
    <w:multiLevelType w:val="multilevel"/>
    <w:tmpl w:val="8D54323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5" w15:restartNumberingAfterBreak="0">
    <w:nsid w:val="312A4829"/>
    <w:multiLevelType w:val="hybridMultilevel"/>
    <w:tmpl w:val="39F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188D"/>
    <w:multiLevelType w:val="multilevel"/>
    <w:tmpl w:val="1AC42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3D5E7D9C"/>
    <w:multiLevelType w:val="hybridMultilevel"/>
    <w:tmpl w:val="5DF602C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545ED2"/>
    <w:multiLevelType w:val="hybridMultilevel"/>
    <w:tmpl w:val="AC32868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3765792"/>
    <w:multiLevelType w:val="hybridMultilevel"/>
    <w:tmpl w:val="8E2825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8031FB"/>
    <w:multiLevelType w:val="hybridMultilevel"/>
    <w:tmpl w:val="4CCC98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6A05E9"/>
    <w:multiLevelType w:val="multilevel"/>
    <w:tmpl w:val="CCEA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0F1429"/>
    <w:multiLevelType w:val="hybridMultilevel"/>
    <w:tmpl w:val="5FA8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96957"/>
    <w:multiLevelType w:val="hybridMultilevel"/>
    <w:tmpl w:val="F6FE3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05D08"/>
    <w:multiLevelType w:val="hybridMultilevel"/>
    <w:tmpl w:val="7F6E0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14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60"/>
    <w:rsid w:val="00007B2F"/>
    <w:rsid w:val="00043EBB"/>
    <w:rsid w:val="00051177"/>
    <w:rsid w:val="000D18FB"/>
    <w:rsid w:val="000D377D"/>
    <w:rsid w:val="00105793"/>
    <w:rsid w:val="00127BEF"/>
    <w:rsid w:val="00174EFF"/>
    <w:rsid w:val="00186F3A"/>
    <w:rsid w:val="00194592"/>
    <w:rsid w:val="001B6580"/>
    <w:rsid w:val="001D25BB"/>
    <w:rsid w:val="001E33BC"/>
    <w:rsid w:val="00204A8F"/>
    <w:rsid w:val="0025166F"/>
    <w:rsid w:val="00274901"/>
    <w:rsid w:val="002E46EC"/>
    <w:rsid w:val="003002DB"/>
    <w:rsid w:val="003279EB"/>
    <w:rsid w:val="00335F09"/>
    <w:rsid w:val="00336730"/>
    <w:rsid w:val="00371CBB"/>
    <w:rsid w:val="003942EA"/>
    <w:rsid w:val="00401F60"/>
    <w:rsid w:val="004922A7"/>
    <w:rsid w:val="004B2E64"/>
    <w:rsid w:val="004F6A51"/>
    <w:rsid w:val="00511099"/>
    <w:rsid w:val="00575B0B"/>
    <w:rsid w:val="005A5305"/>
    <w:rsid w:val="005A70B9"/>
    <w:rsid w:val="005C7459"/>
    <w:rsid w:val="005E38D7"/>
    <w:rsid w:val="0060452F"/>
    <w:rsid w:val="00615029"/>
    <w:rsid w:val="006A358B"/>
    <w:rsid w:val="006D137B"/>
    <w:rsid w:val="006D167E"/>
    <w:rsid w:val="006F5136"/>
    <w:rsid w:val="00717036"/>
    <w:rsid w:val="007225A6"/>
    <w:rsid w:val="0072444D"/>
    <w:rsid w:val="00753B2E"/>
    <w:rsid w:val="008268C0"/>
    <w:rsid w:val="00887002"/>
    <w:rsid w:val="008A081D"/>
    <w:rsid w:val="008B31E5"/>
    <w:rsid w:val="008B53B8"/>
    <w:rsid w:val="008E2DF3"/>
    <w:rsid w:val="009A0534"/>
    <w:rsid w:val="009A220F"/>
    <w:rsid w:val="009B7F6A"/>
    <w:rsid w:val="009C125B"/>
    <w:rsid w:val="009D4A76"/>
    <w:rsid w:val="00A00A3E"/>
    <w:rsid w:val="00A05560"/>
    <w:rsid w:val="00A57EBE"/>
    <w:rsid w:val="00AB26B5"/>
    <w:rsid w:val="00AE0A5A"/>
    <w:rsid w:val="00AE15A3"/>
    <w:rsid w:val="00B0651C"/>
    <w:rsid w:val="00B57037"/>
    <w:rsid w:val="00BC6AD2"/>
    <w:rsid w:val="00C0180C"/>
    <w:rsid w:val="00C2183D"/>
    <w:rsid w:val="00C437BA"/>
    <w:rsid w:val="00C71D19"/>
    <w:rsid w:val="00C85AB2"/>
    <w:rsid w:val="00C865C0"/>
    <w:rsid w:val="00D7256F"/>
    <w:rsid w:val="00D76531"/>
    <w:rsid w:val="00DC1B5D"/>
    <w:rsid w:val="00DC4BE7"/>
    <w:rsid w:val="00E00EB6"/>
    <w:rsid w:val="00E10E0A"/>
    <w:rsid w:val="00E10E7D"/>
    <w:rsid w:val="00E13DB6"/>
    <w:rsid w:val="00E41C3D"/>
    <w:rsid w:val="00E46947"/>
    <w:rsid w:val="00E7637F"/>
    <w:rsid w:val="00EA057B"/>
    <w:rsid w:val="00EE1FA2"/>
    <w:rsid w:val="00F409B0"/>
    <w:rsid w:val="00F601E3"/>
    <w:rsid w:val="00F80104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14941C"/>
  <w15:docId w15:val="{F9364DF6-F085-46DF-A8D3-431446B1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F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C0180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99"/>
    <w:pPr>
      <w:keepNext/>
      <w:keepLines/>
      <w:spacing w:before="320" w:after="160"/>
      <w:outlineLvl w:val="1"/>
    </w:pPr>
    <w:rPr>
      <w:rFonts w:eastAsiaTheme="majorEastAsia"/>
      <w:caps/>
      <w:color w:val="44BCCD" w:themeColor="accent3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099"/>
    <w:pPr>
      <w:keepNext/>
      <w:keepLines/>
      <w:spacing w:before="60"/>
      <w:outlineLvl w:val="2"/>
    </w:pPr>
    <w:rPr>
      <w:rFonts w:eastAsiaTheme="majorEastAsia" w:cstheme="majorBidi"/>
      <w:b/>
      <w:caps/>
      <w:color w:val="706F6F" w:themeColor="accent5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0180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80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80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535363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80C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80C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9595A6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80C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8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1099"/>
    <w:rPr>
      <w:rFonts w:ascii="Open Sans" w:eastAsiaTheme="majorEastAsia" w:hAnsi="Open Sans" w:cs="Open Sans"/>
      <w:caps/>
      <w:color w:val="44BCCD" w:themeColor="accent3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099"/>
    <w:rPr>
      <w:rFonts w:ascii="Open Sans" w:eastAsiaTheme="majorEastAsia" w:hAnsi="Open Sans" w:cstheme="majorBidi"/>
      <w:b/>
      <w:caps/>
      <w:color w:val="706F6F" w:themeColor="accent5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8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8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535363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9595A6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180C"/>
    <w:rPr>
      <w:b/>
      <w:bCs/>
      <w:smallCaps/>
      <w:color w:val="76768C" w:themeColor="text1" w:themeTint="A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E15A3"/>
    <w:pPr>
      <w:spacing w:before="360" w:after="480"/>
      <w:outlineLvl w:val="0"/>
    </w:pPr>
    <w:rPr>
      <w:rFonts w:ascii="Museo 300" w:hAnsi="Museo 300"/>
      <w:noProof/>
      <w:color w:val="EA5B0C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AE15A3"/>
    <w:rPr>
      <w:rFonts w:ascii="Museo 300" w:hAnsi="Museo 300" w:cs="Open Sans"/>
      <w:noProof/>
      <w:color w:val="EA5B0C" w:themeColor="accent2"/>
      <w:sz w:val="50"/>
      <w:szCs w:val="50"/>
    </w:rPr>
  </w:style>
  <w:style w:type="paragraph" w:styleId="Subtitle">
    <w:name w:val="Subtitle"/>
    <w:aliases w:val="Image Caption"/>
    <w:basedOn w:val="Normal"/>
    <w:next w:val="Normal"/>
    <w:link w:val="SubtitleChar"/>
    <w:uiPriority w:val="11"/>
    <w:qFormat/>
    <w:rsid w:val="00174EFF"/>
    <w:pPr>
      <w:numPr>
        <w:ilvl w:val="1"/>
      </w:numPr>
      <w:spacing w:before="120" w:after="120"/>
      <w:ind w:left="720"/>
    </w:pPr>
    <w:rPr>
      <w:rFonts w:eastAsiaTheme="majorEastAsia"/>
      <w:caps/>
      <w:color w:val="6F7387" w:themeColor="accent4" w:themeShade="BF"/>
      <w:sz w:val="18"/>
      <w:szCs w:val="18"/>
    </w:rPr>
  </w:style>
  <w:style w:type="character" w:customStyle="1" w:styleId="SubtitleChar">
    <w:name w:val="Subtitle Char"/>
    <w:aliases w:val="Image Caption Char"/>
    <w:basedOn w:val="DefaultParagraphFont"/>
    <w:link w:val="Subtitle"/>
    <w:uiPriority w:val="11"/>
    <w:rsid w:val="00174EFF"/>
    <w:rPr>
      <w:rFonts w:ascii="Open Sans" w:eastAsiaTheme="majorEastAsia" w:hAnsi="Open Sans" w:cs="Open Sans"/>
      <w:caps/>
      <w:color w:val="6F7387" w:themeColor="accent4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EE1FA2"/>
    <w:rPr>
      <w:rFonts w:asciiTheme="minorHAnsi" w:hAnsiTheme="minorHAnsi"/>
      <w:b/>
      <w:bCs/>
      <w:color w:val="3D3D3D" w:themeColor="background1" w:themeShade="40"/>
      <w:sz w:val="21"/>
    </w:rPr>
  </w:style>
  <w:style w:type="character" w:styleId="Emphasis">
    <w:name w:val="Emphasis"/>
    <w:basedOn w:val="DefaultParagraphFont"/>
    <w:uiPriority w:val="20"/>
    <w:rsid w:val="00C0180C"/>
    <w:rPr>
      <w:i/>
      <w:iCs/>
    </w:rPr>
  </w:style>
  <w:style w:type="paragraph" w:styleId="NoSpacing">
    <w:name w:val="No Spacing"/>
    <w:aliases w:val="Top page information"/>
    <w:uiPriority w:val="1"/>
    <w:qFormat/>
    <w:rsid w:val="00E46947"/>
    <w:pPr>
      <w:framePr w:w="10066" w:h="1441" w:hRule="exact" w:hSpace="180" w:wrap="around" w:vAnchor="page" w:hAnchor="page" w:x="901" w:y="766"/>
      <w:spacing w:after="0" w:line="240" w:lineRule="auto"/>
      <w:jc w:val="right"/>
    </w:pPr>
    <w:rPr>
      <w:color w:val="706F6F" w:themeColor="accent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D18FB"/>
    <w:pPr>
      <w:pageBreakBefore/>
      <w:widowControl w:val="0"/>
      <w:spacing w:before="160" w:line="360" w:lineRule="auto"/>
      <w:ind w:right="720"/>
    </w:pPr>
    <w:rPr>
      <w:rFonts w:eastAsiaTheme="majorEastAsia" w:cstheme="majorBidi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D18FB"/>
    <w:rPr>
      <w:rFonts w:ascii="Open Sans" w:eastAsiaTheme="majorEastAsia" w:hAnsi="Open Sans" w:cstheme="majorBidi"/>
      <w:color w:val="F6F6F6" w:themeColor="background1"/>
      <w:sz w:val="24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rsid w:val="000D18FB"/>
    <w:pPr>
      <w:pageBreakBefore/>
      <w:widowControl w:val="0"/>
      <w:suppressAutoHyphens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18FB"/>
    <w:rPr>
      <w:rFonts w:ascii="Open Sans" w:hAnsi="Open Sans" w:cs="Open Sans"/>
      <w:color w:val="F6F6F6" w:themeColor="background1"/>
      <w:sz w:val="24"/>
      <w:szCs w:val="21"/>
    </w:rPr>
  </w:style>
  <w:style w:type="character" w:styleId="SubtleEmphasis">
    <w:name w:val="Subtle Emphasis"/>
    <w:basedOn w:val="DefaultParagraphFont"/>
    <w:uiPriority w:val="19"/>
    <w:qFormat/>
    <w:rsid w:val="00EE1FA2"/>
    <w:rPr>
      <w:rFonts w:asciiTheme="minorHAnsi" w:hAnsiTheme="minorHAnsi"/>
      <w:b w:val="0"/>
      <w:i/>
      <w:color w:val="818195" w:themeColor="text1" w:themeTint="99"/>
      <w:spacing w:val="0"/>
      <w:kern w:val="0"/>
      <w:sz w:val="22"/>
      <w:shd w:val="clear" w:color="auto" w:fill="auto"/>
    </w:rPr>
  </w:style>
  <w:style w:type="character" w:styleId="IntenseEmphasis">
    <w:name w:val="Intense Emphasis"/>
    <w:basedOn w:val="DefaultParagraphFont"/>
    <w:uiPriority w:val="21"/>
    <w:rsid w:val="00C01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C0180C"/>
    <w:rPr>
      <w:smallCaps/>
      <w:color w:val="656578" w:themeColor="text1" w:themeTint="BF"/>
      <w:u w:val="single" w:color="9595A6" w:themeColor="text1" w:themeTint="80"/>
    </w:rPr>
  </w:style>
  <w:style w:type="character" w:styleId="IntenseReference">
    <w:name w:val="Intense Reference"/>
    <w:basedOn w:val="DefaultParagraphFont"/>
    <w:uiPriority w:val="32"/>
    <w:rsid w:val="00C018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rsid w:val="00C018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80C"/>
    <w:pPr>
      <w:outlineLvl w:val="9"/>
    </w:pPr>
  </w:style>
  <w:style w:type="character" w:customStyle="1" w:styleId="apple-converted-space">
    <w:name w:val="apple-converted-space"/>
    <w:basedOn w:val="DefaultParagraphFont"/>
    <w:rsid w:val="00C0180C"/>
  </w:style>
  <w:style w:type="paragraph" w:styleId="NormalWeb">
    <w:name w:val="Normal (Web)"/>
    <w:basedOn w:val="Normal"/>
    <w:uiPriority w:val="99"/>
    <w:unhideWhenUsed/>
    <w:rsid w:val="00C0180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DB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57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575B0B"/>
    <w:pPr>
      <w:spacing w:after="0" w:line="240" w:lineRule="auto"/>
    </w:pPr>
    <w:tblPr>
      <w:tblStyleRowBandSize w:val="1"/>
      <w:tblStyleColBandSize w:val="1"/>
      <w:tblBorders>
        <w:top w:val="single" w:sz="4" w:space="0" w:color="B4E4EB" w:themeColor="accent3" w:themeTint="66"/>
        <w:left w:val="single" w:sz="4" w:space="0" w:color="B4E4EB" w:themeColor="accent3" w:themeTint="66"/>
        <w:bottom w:val="single" w:sz="4" w:space="0" w:color="B4E4EB" w:themeColor="accent3" w:themeTint="66"/>
        <w:right w:val="single" w:sz="4" w:space="0" w:color="B4E4EB" w:themeColor="accent3" w:themeTint="66"/>
        <w:insideH w:val="single" w:sz="4" w:space="0" w:color="B4E4EB" w:themeColor="accent3" w:themeTint="66"/>
        <w:insideV w:val="single" w:sz="4" w:space="0" w:color="B4E4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1FA2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B2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B2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paragraph" w:customStyle="1" w:styleId="gmail-m720922731898480941msolistparagraph">
    <w:name w:val="gmail-m_720922731898480941msolistparagraph"/>
    <w:basedOn w:val="Normal"/>
    <w:rsid w:val="00AB26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5029"/>
    <w:rPr>
      <w:color w:val="44BC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2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9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9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SELEP">
      <a:dk1>
        <a:srgbClr val="393944"/>
      </a:dk1>
      <a:lt1>
        <a:srgbClr val="F6F6F6"/>
      </a:lt1>
      <a:dk2>
        <a:srgbClr val="3C3C3B"/>
      </a:dk2>
      <a:lt2>
        <a:srgbClr val="FFFFFF"/>
      </a:lt2>
      <a:accent1>
        <a:srgbClr val="D42B3F"/>
      </a:accent1>
      <a:accent2>
        <a:srgbClr val="EA5B0C"/>
      </a:accent2>
      <a:accent3>
        <a:srgbClr val="44BCCD"/>
      </a:accent3>
      <a:accent4>
        <a:srgbClr val="9C9FAE"/>
      </a:accent4>
      <a:accent5>
        <a:srgbClr val="706F6F"/>
      </a:accent5>
      <a:accent6>
        <a:srgbClr val="FFFFFF"/>
      </a:accent6>
      <a:hlink>
        <a:srgbClr val="44BCCD"/>
      </a:hlink>
      <a:folHlink>
        <a:srgbClr val="9C9FAE"/>
      </a:folHlink>
    </a:clrScheme>
    <a:fontScheme name="Font Pairing 1">
      <a:majorFont>
        <a:latin typeface="Museo 300"/>
        <a:ea typeface="ＭＳ Ｐゴシック"/>
        <a:cs typeface=""/>
      </a:majorFont>
      <a:minorFont>
        <a:latin typeface="Open Sans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486E374-F56A-4B21-B383-00F264236086}" vid="{0F3A18F2-FB75-428C-915A-9F1181D751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3" ma:contentTypeDescription="Create a new document." ma:contentTypeScope="" ma:versionID="5af33d1625b1c5d56ee430dd08be06dd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7da424cf552e56abf560e00bc164e3bd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</documentManagement>
</p:properties>
</file>

<file path=customXml/itemProps1.xml><?xml version="1.0" encoding="utf-8"?>
<ds:datastoreItem xmlns:ds="http://schemas.openxmlformats.org/officeDocument/2006/customXml" ds:itemID="{D47A821A-AA0F-4234-8173-B5FC6563A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7CB31B-F5C3-480E-8D22-08DA3FFF87F4}"/>
</file>

<file path=customXml/itemProps3.xml><?xml version="1.0" encoding="utf-8"?>
<ds:datastoreItem xmlns:ds="http://schemas.openxmlformats.org/officeDocument/2006/customXml" ds:itemID="{0B4E0FF3-754D-412A-9079-42EA31B7EF5B}"/>
</file>

<file path=customXml/itemProps4.xml><?xml version="1.0" encoding="utf-8"?>
<ds:datastoreItem xmlns:ds="http://schemas.openxmlformats.org/officeDocument/2006/customXml" ds:itemID="{0E0A88D5-E1C4-46DB-8D5C-1E308A180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SELEP Template</vt:lpstr>
    </vt:vector>
  </TitlesOfParts>
  <Company>Essex County Council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SELEP</dc:subject>
  <dc:creator>Alex Riley</dc:creator>
  <cp:lastModifiedBy>Alexander Riley, Programme Manager - SELEP</cp:lastModifiedBy>
  <cp:revision>4</cp:revision>
  <cp:lastPrinted>2017-04-12T14:40:00Z</cp:lastPrinted>
  <dcterms:created xsi:type="dcterms:W3CDTF">2019-09-24T10:52:00Z</dcterms:created>
  <dcterms:modified xsi:type="dcterms:W3CDTF">2019-09-24T11:33:00Z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  <property fmtid="{D5CDD505-2E9C-101B-9397-08002B2CF9AE}" pid="3" name="Order">
    <vt:r8>1384800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